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93" w:rsidRPr="00312ED6" w:rsidRDefault="003F0E93" w:rsidP="00464E65">
      <w:pPr>
        <w:spacing w:after="0" w:line="240" w:lineRule="auto"/>
        <w:contextualSpacing/>
        <w:rPr>
          <w:rFonts w:ascii="Arial" w:eastAsia="Calibri" w:hAnsi="Arial" w:cs="Arial"/>
          <w:b/>
          <w:sz w:val="28"/>
          <w:szCs w:val="28"/>
          <w:u w:val="single"/>
        </w:rPr>
      </w:pPr>
      <w:bookmarkStart w:id="0" w:name="_GoBack"/>
      <w:r w:rsidRPr="00312ED6">
        <w:rPr>
          <w:rFonts w:ascii="Arial" w:eastAsia="Calibri" w:hAnsi="Arial" w:cs="Arial"/>
          <w:b/>
          <w:sz w:val="28"/>
          <w:szCs w:val="28"/>
          <w:u w:val="single"/>
        </w:rPr>
        <w:t xml:space="preserve">Appendix </w:t>
      </w:r>
      <w:r w:rsidR="00464E65" w:rsidRPr="00312ED6">
        <w:rPr>
          <w:rFonts w:ascii="Arial" w:eastAsia="Calibri" w:hAnsi="Arial" w:cs="Arial"/>
          <w:b/>
          <w:sz w:val="28"/>
          <w:szCs w:val="28"/>
          <w:u w:val="single"/>
        </w:rPr>
        <w:t>'H'</w:t>
      </w:r>
    </w:p>
    <w:bookmarkEnd w:id="0"/>
    <w:p w:rsidR="003F0E93" w:rsidRDefault="003F0E93" w:rsidP="000445F1">
      <w:pPr>
        <w:spacing w:after="0" w:line="240" w:lineRule="auto"/>
        <w:contextualSpacing/>
        <w:jc w:val="center"/>
        <w:rPr>
          <w:rFonts w:ascii="Arial" w:eastAsia="Calibri" w:hAnsi="Arial" w:cs="Arial"/>
          <w:b/>
          <w:sz w:val="24"/>
          <w:szCs w:val="24"/>
        </w:rPr>
      </w:pPr>
    </w:p>
    <w:p w:rsidR="003F0E93" w:rsidRPr="003F0E93" w:rsidRDefault="000445F1" w:rsidP="000445F1">
      <w:pPr>
        <w:spacing w:after="0" w:line="240" w:lineRule="auto"/>
        <w:contextualSpacing/>
        <w:jc w:val="center"/>
        <w:rPr>
          <w:rFonts w:ascii="Arial" w:eastAsia="Calibri" w:hAnsi="Arial" w:cs="Arial"/>
          <w:b/>
          <w:sz w:val="24"/>
          <w:szCs w:val="24"/>
        </w:rPr>
      </w:pPr>
      <w:r>
        <w:rPr>
          <w:rFonts w:ascii="Arial" w:eastAsia="Calibri" w:hAnsi="Arial" w:cs="Arial"/>
          <w:b/>
          <w:sz w:val="24"/>
          <w:szCs w:val="24"/>
        </w:rPr>
        <w:t>Local Health</w:t>
      </w:r>
      <w:r w:rsidR="003F0E93" w:rsidRPr="003F0E93">
        <w:rPr>
          <w:rFonts w:ascii="Arial" w:eastAsia="Calibri" w:hAnsi="Arial" w:cs="Arial"/>
          <w:b/>
          <w:sz w:val="24"/>
          <w:szCs w:val="24"/>
        </w:rPr>
        <w:t xml:space="preserve"> Profile</w:t>
      </w:r>
    </w:p>
    <w:p w:rsidR="003F0E93" w:rsidRPr="003F0E93" w:rsidRDefault="003F0E93" w:rsidP="003F0E93">
      <w:pPr>
        <w:spacing w:line="254" w:lineRule="auto"/>
        <w:ind w:left="720"/>
        <w:contextualSpacing/>
        <w:rPr>
          <w:rFonts w:ascii="Arial" w:eastAsia="Calibri" w:hAnsi="Arial" w:cs="Arial"/>
          <w:sz w:val="24"/>
          <w:szCs w:val="24"/>
        </w:rPr>
      </w:pPr>
    </w:p>
    <w:p w:rsidR="003F0E93" w:rsidRPr="003F0E93" w:rsidRDefault="003F0E93" w:rsidP="003F0E93">
      <w:pPr>
        <w:spacing w:after="0" w:line="240" w:lineRule="auto"/>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The two proposed temporary sites in Lancashire to explore for shale gas extraction is situated within the Fylde district, as seen below: </w:t>
      </w:r>
    </w:p>
    <w:p w:rsidR="003F0E93" w:rsidRPr="003F0E93" w:rsidRDefault="003F0E93" w:rsidP="003F0E93">
      <w:pPr>
        <w:spacing w:after="0" w:line="240" w:lineRule="auto"/>
        <w:rPr>
          <w:rFonts w:ascii="Arial" w:eastAsia="Times New Roman" w:hAnsi="Arial" w:cs="Arial"/>
          <w:sz w:val="24"/>
          <w:szCs w:val="24"/>
          <w:lang w:eastAsia="en-GB"/>
        </w:rPr>
      </w:pPr>
    </w:p>
    <w:p w:rsidR="003F0E93" w:rsidRPr="003F0E93" w:rsidRDefault="003F0E93" w:rsidP="003F0E93">
      <w:pPr>
        <w:spacing w:after="0" w:line="240" w:lineRule="auto"/>
        <w:rPr>
          <w:rFonts w:ascii="Arial" w:eastAsia="Times New Roman" w:hAnsi="Arial" w:cs="Arial"/>
          <w:sz w:val="24"/>
          <w:szCs w:val="24"/>
          <w:lang w:eastAsia="en-GB"/>
        </w:rPr>
      </w:pPr>
      <w:r w:rsidRPr="003F0E93">
        <w:rPr>
          <w:rFonts w:ascii="Arial" w:eastAsia="Times New Roman" w:hAnsi="Arial" w:cs="Arial"/>
          <w:noProof/>
          <w:sz w:val="24"/>
          <w:szCs w:val="24"/>
          <w:lang w:eastAsia="en-GB"/>
        </w:rPr>
        <w:drawing>
          <wp:inline distT="0" distB="0" distL="0" distR="0" wp14:anchorId="19228938" wp14:editId="5CF6F3AC">
            <wp:extent cx="5724525" cy="3686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686175"/>
                    </a:xfrm>
                    <a:prstGeom prst="rect">
                      <a:avLst/>
                    </a:prstGeom>
                    <a:noFill/>
                    <a:ln>
                      <a:noFill/>
                    </a:ln>
                  </pic:spPr>
                </pic:pic>
              </a:graphicData>
            </a:graphic>
          </wp:inline>
        </w:drawing>
      </w:r>
    </w:p>
    <w:p w:rsidR="003F0E93" w:rsidRPr="003F0E93" w:rsidRDefault="003F0E93" w:rsidP="003F0E93">
      <w:pPr>
        <w:spacing w:after="0" w:line="240" w:lineRule="auto"/>
        <w:rPr>
          <w:rFonts w:ascii="Arial" w:eastAsia="Times New Roman" w:hAnsi="Arial" w:cs="Arial"/>
          <w:b/>
          <w:sz w:val="24"/>
          <w:szCs w:val="24"/>
          <w:lang w:eastAsia="en-GB"/>
        </w:rPr>
      </w:pPr>
      <w:r w:rsidRPr="003F0E93">
        <w:rPr>
          <w:rFonts w:ascii="Arial" w:eastAsia="Times New Roman" w:hAnsi="Arial" w:cs="Arial"/>
          <w:b/>
          <w:sz w:val="24"/>
          <w:szCs w:val="24"/>
          <w:lang w:eastAsia="en-GB"/>
        </w:rPr>
        <w:t xml:space="preserve"> </w:t>
      </w:r>
    </w:p>
    <w:p w:rsidR="003F0E93" w:rsidRPr="003F0E93" w:rsidRDefault="003F0E93" w:rsidP="003F0E93">
      <w:pPr>
        <w:spacing w:after="0" w:line="240" w:lineRule="auto"/>
        <w:rPr>
          <w:rFonts w:ascii="Arial" w:eastAsia="Times New Roman" w:hAnsi="Arial" w:cs="Arial"/>
          <w:b/>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b/>
          <w:color w:val="000000"/>
          <w:sz w:val="24"/>
          <w:szCs w:val="24"/>
          <w:lang w:eastAsia="en-GB"/>
        </w:rPr>
      </w:pPr>
      <w:r w:rsidRPr="003F0E93">
        <w:rPr>
          <w:rFonts w:ascii="Arial" w:eastAsia="Times New Roman" w:hAnsi="Arial" w:cs="Arial"/>
          <w:b/>
          <w:color w:val="000000"/>
          <w:sz w:val="24"/>
          <w:szCs w:val="24"/>
          <w:lang w:eastAsia="en-GB"/>
        </w:rPr>
        <w:t>Proposed temporary Site: Roseacre Wood in Lancashire</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The proposed temporary Roseacre Wood in Lancashire site is situated within the Newton and Treales ward of the Fylde district, on the east side boarding with the Preston and Wyre districts.. In 2013, the Office for National Statistics (ONS) estimated that this ward had a total population of 3,160</w:t>
      </w:r>
      <w:r w:rsidRPr="003F0E93">
        <w:rPr>
          <w:rFonts w:ascii="Arial" w:eastAsia="Times New Roman" w:hAnsi="Arial" w:cs="Arial"/>
          <w:color w:val="000000"/>
          <w:sz w:val="24"/>
          <w:szCs w:val="24"/>
          <w:vertAlign w:val="superscript"/>
          <w:lang w:eastAsia="en-GB"/>
        </w:rPr>
        <w:footnoteReference w:id="1"/>
      </w:r>
      <w:r w:rsidRPr="003F0E93">
        <w:rPr>
          <w:rFonts w:ascii="Arial" w:eastAsia="Times New Roman" w:hAnsi="Arial" w:cs="Arial"/>
          <w:color w:val="000000"/>
          <w:sz w:val="24"/>
          <w:szCs w:val="24"/>
          <w:lang w:eastAsia="en-GB"/>
        </w:rPr>
        <w:t>, with 49% (1,560) of residents aged 40 to 69 years old and 51% of the population estimated to be females. An age gender breakdown of the population estimate shows that this ward has higher estimated proportions of residents aged between 10 to 14 years old and aged 40 to 74 years old compared to England as a whole (</w:t>
      </w:r>
      <w:r w:rsidRPr="003F0E93">
        <w:rPr>
          <w:rFonts w:ascii="Arial" w:eastAsia="Times New Roman" w:hAnsi="Arial" w:cs="Arial"/>
          <w:sz w:val="24"/>
          <w:szCs w:val="24"/>
          <w:lang w:eastAsia="en-GB"/>
        </w:rPr>
        <w:t>Figure 2</w:t>
      </w:r>
      <w:r w:rsidRPr="003F0E93">
        <w:rPr>
          <w:rFonts w:ascii="Arial" w:eastAsia="Times New Roman" w:hAnsi="Arial" w:cs="Arial"/>
          <w:color w:val="000000"/>
          <w:sz w:val="24"/>
          <w:szCs w:val="24"/>
          <w:lang w:eastAsia="en-GB"/>
        </w:rPr>
        <w:t>).</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16"/>
          <w:szCs w:val="16"/>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r w:rsidRPr="003F0E93">
        <w:rPr>
          <w:rFonts w:ascii="Arial" w:eastAsia="Times New Roman" w:hAnsi="Arial" w:cs="Arial"/>
          <w:b/>
          <w:noProof/>
          <w:sz w:val="20"/>
          <w:szCs w:val="20"/>
          <w:lang w:eastAsia="en-GB"/>
        </w:rPr>
        <w:lastRenderedPageBreak/>
        <w:drawing>
          <wp:anchor distT="0" distB="0" distL="114300" distR="114300" simplePos="0" relativeHeight="251659264" behindDoc="1" locked="0" layoutInCell="1" allowOverlap="1" wp14:anchorId="01CC68C1" wp14:editId="19DB5A68">
            <wp:simplePos x="0" y="0"/>
            <wp:positionH relativeFrom="margin">
              <wp:align>left</wp:align>
            </wp:positionH>
            <wp:positionV relativeFrom="paragraph">
              <wp:posOffset>302260</wp:posOffset>
            </wp:positionV>
            <wp:extent cx="6276975" cy="2676525"/>
            <wp:effectExtent l="0" t="0" r="9525" b="9525"/>
            <wp:wrapTight wrapText="bothSides">
              <wp:wrapPolygon edited="0">
                <wp:start x="0" y="0"/>
                <wp:lineTo x="0" y="21523"/>
                <wp:lineTo x="21567" y="21523"/>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9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E93">
        <w:rPr>
          <w:rFonts w:ascii="Arial" w:eastAsia="Times New Roman" w:hAnsi="Arial" w:cs="Arial"/>
          <w:b/>
          <w:sz w:val="20"/>
          <w:szCs w:val="20"/>
          <w:lang w:eastAsia="en-GB"/>
        </w:rPr>
        <w:t>Figure 2</w:t>
      </w:r>
      <w:r w:rsidRPr="003F0E93">
        <w:rPr>
          <w:rFonts w:ascii="Arial" w:eastAsia="Times New Roman" w:hAnsi="Arial" w:cs="Arial"/>
          <w:b/>
          <w:color w:val="000000"/>
          <w:sz w:val="20"/>
          <w:szCs w:val="20"/>
          <w:lang w:eastAsia="en-GB"/>
        </w:rPr>
        <w:t>: Newton and Treales ONS Mid-2012 Population Estimate by Age band proportion and Gender</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0"/>
          <w:szCs w:val="20"/>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0"/>
          <w:szCs w:val="20"/>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Using the MOSAIC Public Sector Profiler produced by Experian</w:t>
      </w:r>
      <w:r w:rsidRPr="003F0E93">
        <w:rPr>
          <w:rFonts w:ascii="Arial" w:eastAsia="Times New Roman" w:hAnsi="Arial" w:cs="Arial"/>
          <w:color w:val="000000"/>
          <w:sz w:val="24"/>
          <w:szCs w:val="24"/>
          <w:vertAlign w:val="superscript"/>
          <w:lang w:eastAsia="en-GB"/>
        </w:rPr>
        <w:footnoteReference w:id="2"/>
      </w:r>
      <w:r w:rsidRPr="003F0E93">
        <w:rPr>
          <w:rFonts w:ascii="Arial" w:eastAsia="Times New Roman" w:hAnsi="Arial" w:cs="Arial"/>
          <w:color w:val="000000"/>
          <w:sz w:val="24"/>
          <w:szCs w:val="24"/>
          <w:lang w:eastAsia="en-GB"/>
        </w:rPr>
        <w:t xml:space="preserve">, 29% of the population was classed in </w:t>
      </w:r>
      <w:r w:rsidRPr="003F0E93">
        <w:rPr>
          <w:rFonts w:ascii="Arial" w:eastAsia="Times New Roman" w:hAnsi="Arial" w:cs="Arial"/>
          <w:b/>
          <w:color w:val="000000"/>
          <w:sz w:val="24"/>
          <w:szCs w:val="24"/>
          <w:lang w:eastAsia="en-GB"/>
        </w:rPr>
        <w:t>Group G: Rural Reality</w:t>
      </w:r>
      <w:r w:rsidRPr="003F0E93">
        <w:rPr>
          <w:rFonts w:ascii="Arial" w:eastAsia="Times New Roman" w:hAnsi="Arial" w:cs="Arial"/>
          <w:color w:val="000000"/>
          <w:sz w:val="24"/>
          <w:szCs w:val="24"/>
          <w:lang w:eastAsia="en-GB"/>
        </w:rPr>
        <w:t>. This referred to people who live in rural communities and generally own their relatively low cost homes. Their moderate incomes come mostly from employment with local firms or from running their own small businesses.</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 xml:space="preserve">A further 28% of residents were classed in </w:t>
      </w:r>
      <w:r w:rsidRPr="003F0E93">
        <w:rPr>
          <w:rFonts w:ascii="Arial" w:eastAsia="Times New Roman" w:hAnsi="Arial" w:cs="Arial"/>
          <w:b/>
          <w:color w:val="000000"/>
          <w:sz w:val="24"/>
          <w:szCs w:val="24"/>
          <w:lang w:eastAsia="en-GB"/>
        </w:rPr>
        <w:t>Group A: Country Living</w:t>
      </w:r>
      <w:r w:rsidRPr="003F0E93">
        <w:rPr>
          <w:rFonts w:ascii="Arial" w:eastAsia="Times New Roman" w:hAnsi="Arial" w:cs="Arial"/>
          <w:color w:val="000000"/>
          <w:sz w:val="24"/>
          <w:szCs w:val="24"/>
          <w:lang w:eastAsia="en-GB"/>
        </w:rPr>
        <w:t>, which referred to people as being considered to be well-off homeowners, who lived in the countryside often beyond easy commuting reach of major towns and cities. Some people were landowners or farmers, others ran small businesses from their homes, some were retired and others commuted distances to professional jobs.</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Using Public Health England's Local Health profile tool</w:t>
      </w:r>
      <w:r w:rsidRPr="003F0E93">
        <w:rPr>
          <w:rFonts w:ascii="Arial" w:eastAsia="Times New Roman" w:hAnsi="Arial" w:cs="Arial"/>
          <w:color w:val="000000"/>
          <w:sz w:val="24"/>
          <w:szCs w:val="24"/>
          <w:vertAlign w:val="superscript"/>
          <w:lang w:eastAsia="en-GB"/>
        </w:rPr>
        <w:footnoteReference w:id="3"/>
      </w:r>
      <w:r w:rsidRPr="003F0E93">
        <w:rPr>
          <w:rFonts w:ascii="Arial" w:eastAsia="Times New Roman" w:hAnsi="Arial" w:cs="Arial"/>
          <w:color w:val="000000"/>
          <w:sz w:val="24"/>
          <w:szCs w:val="24"/>
          <w:lang w:eastAsia="en-GB"/>
        </w:rPr>
        <w:t>, the Newton and Treales ward has the highest life estimated life expectancy at birth (2008-12) for females in the Fylde district of 89 years old. The England national average was 83 years old. For males the ward has a life expectancy at birth (2008-12) of 79, which again is one of the highest estimates in the district and in line with the England national average, across all wards, of 79 years old.</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The Environment and Health Atlas for England and Wales</w:t>
      </w:r>
      <w:r w:rsidRPr="003F0E93">
        <w:rPr>
          <w:rFonts w:ascii="Arial" w:eastAsia="Times New Roman" w:hAnsi="Arial" w:cs="Arial"/>
          <w:sz w:val="24"/>
          <w:szCs w:val="24"/>
          <w:vertAlign w:val="superscript"/>
          <w:lang w:eastAsia="en-GB"/>
        </w:rPr>
        <w:footnoteReference w:id="4"/>
      </w:r>
      <w:r w:rsidRPr="003F0E93">
        <w:rPr>
          <w:rFonts w:ascii="Arial" w:eastAsia="Times New Roman" w:hAnsi="Arial" w:cs="Arial"/>
          <w:sz w:val="24"/>
          <w:szCs w:val="24"/>
          <w:lang w:eastAsia="en-GB"/>
        </w:rPr>
        <w:t xml:space="preserve"> is an independent publication produced by the UK Small Area Health Statistics Unit (SAHSU). It is part of the MRC-PHE Centre for Environment and Health and is funded by the Medical Research Council and Public Health England. It was published in April 2014 and shows the relative risks for a 25 year period (1985-2009), for a number of health conditions. The relative risks represent the risk of an area (ward) relative to average risk in England and Wales. These are adjusted for age, deprivation and chance fluctuations due to small numbers.</w:t>
      </w: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Using the atlas, the Newton and Treales have above average relative risk for females, for the following conditions: </w:t>
      </w: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Bladder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Chronic obstructive pulmonary disease (COPD);</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Heart Disease;</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Liver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Low Birth Weight;</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Lung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Mesothelioma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Sill births; and</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Skin Cancer.</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And for males it is estimated to have above average relative risk for the following areas:</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Chronic obstructive pulmonary disease (COPD);</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Heart Disease;</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Liver Cancer; and</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Lung Cancer.</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p>
    <w:p w:rsidR="003F0E93" w:rsidRPr="003F0E93" w:rsidRDefault="003F0E93" w:rsidP="003F0E93">
      <w:pPr>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All-cause mortality is a fundamental and probably the oldest measure of the health status of a population. It represents the effect of the prevalence of risk factors, prevalence and severity of disease, and the effectiveness of interventions and treatment. Differences in levels of all-cause mortality may reflect health inequalities between different population groups. </w:t>
      </w:r>
    </w:p>
    <w:p w:rsidR="003F0E93" w:rsidRPr="003F0E93" w:rsidRDefault="003F0E93" w:rsidP="003F0E93">
      <w:pPr>
        <w:spacing w:after="0" w:line="240" w:lineRule="auto"/>
        <w:jc w:val="both"/>
        <w:rPr>
          <w:rFonts w:ascii="Arial" w:eastAsia="Times New Roman" w:hAnsi="Arial" w:cs="Arial"/>
          <w:sz w:val="24"/>
          <w:szCs w:val="24"/>
          <w:lang w:eastAsia="en-GB"/>
        </w:rPr>
      </w:pPr>
    </w:p>
    <w:p w:rsidR="003F0E93" w:rsidRPr="003F0E93" w:rsidRDefault="003F0E93" w:rsidP="003F0E93">
      <w:pPr>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The Local Health profile tool enables comparisons to the standardised mortality ratio (SMR)</w:t>
      </w:r>
      <w:r w:rsidRPr="003F0E93">
        <w:rPr>
          <w:rFonts w:ascii="Arial" w:eastAsia="Times New Roman" w:hAnsi="Arial" w:cs="Arial"/>
          <w:sz w:val="24"/>
          <w:szCs w:val="24"/>
          <w:vertAlign w:val="superscript"/>
          <w:lang w:eastAsia="en-GB"/>
        </w:rPr>
        <w:footnoteReference w:id="5"/>
      </w:r>
      <w:r w:rsidRPr="003F0E93">
        <w:rPr>
          <w:rFonts w:ascii="Arial" w:eastAsia="Times New Roman" w:hAnsi="Arial" w:cs="Arial"/>
          <w:sz w:val="24"/>
          <w:szCs w:val="24"/>
          <w:lang w:eastAsia="en-GB"/>
        </w:rPr>
        <w:t xml:space="preserve"> for this ward against not only the ratio of the other wards from the district but also against the Fylde district as a whole ratio, the Lancashire county</w:t>
      </w:r>
      <w:r w:rsidRPr="003F0E93">
        <w:rPr>
          <w:rFonts w:ascii="Arial" w:eastAsia="Times New Roman" w:hAnsi="Arial" w:cs="Arial"/>
          <w:sz w:val="24"/>
          <w:szCs w:val="24"/>
          <w:vertAlign w:val="superscript"/>
          <w:lang w:eastAsia="en-GB"/>
        </w:rPr>
        <w:footnoteReference w:id="6"/>
      </w:r>
      <w:r w:rsidRPr="003F0E93">
        <w:rPr>
          <w:rFonts w:ascii="Arial" w:eastAsia="Times New Roman" w:hAnsi="Arial" w:cs="Arial"/>
          <w:sz w:val="24"/>
          <w:szCs w:val="24"/>
          <w:lang w:eastAsia="en-GB"/>
        </w:rPr>
        <w:t xml:space="preserve"> ratio and the England national ratio. Looking at the ratio for all-cause mortality, All-cancers, All-circularly diseases, Coronary heart disease, Stroke and Respiratory diseases the ward had a significantly better ratio than the England national average for all-cause mortality and Respiratory diseases (Figure 3). </w:t>
      </w:r>
    </w:p>
    <w:p w:rsidR="003F0E93" w:rsidRPr="003F0E93" w:rsidRDefault="003F0E93" w:rsidP="003F0E93">
      <w:pPr>
        <w:spacing w:after="0" w:line="240" w:lineRule="auto"/>
        <w:jc w:val="both"/>
        <w:rPr>
          <w:rFonts w:ascii="Arial" w:eastAsia="Times New Roman" w:hAnsi="Arial" w:cs="Arial"/>
          <w:b/>
          <w:sz w:val="20"/>
          <w:szCs w:val="20"/>
          <w:lang w:eastAsia="en-GB"/>
        </w:rPr>
      </w:pPr>
    </w:p>
    <w:p w:rsidR="003F0E93" w:rsidRDefault="003F0E93"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Default="000445F1" w:rsidP="003F0E93">
      <w:pPr>
        <w:spacing w:after="0" w:line="240" w:lineRule="auto"/>
        <w:jc w:val="both"/>
        <w:rPr>
          <w:rFonts w:ascii="Arial" w:eastAsia="Times New Roman" w:hAnsi="Arial" w:cs="Arial"/>
          <w:b/>
          <w:sz w:val="20"/>
          <w:szCs w:val="20"/>
          <w:lang w:eastAsia="en-GB"/>
        </w:rPr>
      </w:pPr>
    </w:p>
    <w:p w:rsidR="000445F1" w:rsidRPr="003F0E93" w:rsidRDefault="000445F1" w:rsidP="003F0E93">
      <w:pPr>
        <w:spacing w:after="0" w:line="240" w:lineRule="auto"/>
        <w:jc w:val="both"/>
        <w:rPr>
          <w:rFonts w:ascii="Arial" w:eastAsia="Times New Roman" w:hAnsi="Arial" w:cs="Arial"/>
          <w:b/>
          <w:sz w:val="20"/>
          <w:szCs w:val="20"/>
          <w:lang w:eastAsia="en-GB"/>
        </w:rPr>
      </w:pPr>
    </w:p>
    <w:p w:rsidR="003F0E93" w:rsidRPr="003F0E93" w:rsidRDefault="003F0E93" w:rsidP="003F0E93">
      <w:pPr>
        <w:spacing w:after="0" w:line="240" w:lineRule="auto"/>
        <w:jc w:val="both"/>
        <w:rPr>
          <w:rFonts w:ascii="Arial" w:eastAsia="Times New Roman" w:hAnsi="Arial" w:cs="Arial"/>
          <w:b/>
          <w:sz w:val="20"/>
          <w:szCs w:val="20"/>
          <w:lang w:eastAsia="en-GB"/>
        </w:rPr>
      </w:pPr>
      <w:r w:rsidRPr="003F0E93">
        <w:rPr>
          <w:rFonts w:ascii="Arial" w:eastAsia="Times New Roman" w:hAnsi="Arial" w:cs="Arial"/>
          <w:b/>
          <w:sz w:val="20"/>
          <w:szCs w:val="20"/>
          <w:lang w:eastAsia="en-GB"/>
        </w:rPr>
        <w:lastRenderedPageBreak/>
        <w:t>Figure 3: Newton and Treales, Causes of death, all ages, standardised mortality ratios (SMRs), 2008-12)</w:t>
      </w:r>
    </w:p>
    <w:p w:rsidR="003F0E93" w:rsidRPr="003F0E93" w:rsidRDefault="003F0E93" w:rsidP="003F0E93">
      <w:pPr>
        <w:spacing w:after="0" w:line="240" w:lineRule="auto"/>
        <w:jc w:val="both"/>
        <w:rPr>
          <w:rFonts w:ascii="Arial" w:eastAsia="Times New Roman" w:hAnsi="Arial" w:cs="Arial"/>
          <w:sz w:val="24"/>
          <w:szCs w:val="24"/>
          <w:lang w:eastAsia="en-GB"/>
        </w:rPr>
      </w:pPr>
      <w:r w:rsidRPr="003F0E93">
        <w:rPr>
          <w:rFonts w:ascii="Arial" w:eastAsia="Times New Roman" w:hAnsi="Arial" w:cs="Arial"/>
          <w:b/>
          <w:noProof/>
          <w:sz w:val="20"/>
          <w:szCs w:val="20"/>
          <w:lang w:eastAsia="en-GB"/>
        </w:rPr>
        <w:drawing>
          <wp:anchor distT="0" distB="0" distL="114300" distR="114300" simplePos="0" relativeHeight="251660288" behindDoc="1" locked="0" layoutInCell="1" allowOverlap="1" wp14:anchorId="656069E8" wp14:editId="3ECBE2E4">
            <wp:simplePos x="0" y="0"/>
            <wp:positionH relativeFrom="margin">
              <wp:posOffset>-47625</wp:posOffset>
            </wp:positionH>
            <wp:positionV relativeFrom="paragraph">
              <wp:posOffset>167640</wp:posOffset>
            </wp:positionV>
            <wp:extent cx="5505450" cy="1743075"/>
            <wp:effectExtent l="0" t="0" r="0" b="9525"/>
            <wp:wrapTight wrapText="bothSides">
              <wp:wrapPolygon edited="0">
                <wp:start x="0" y="0"/>
                <wp:lineTo x="0" y="21482"/>
                <wp:lineTo x="21525" y="21482"/>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E93">
        <w:rPr>
          <w:rFonts w:ascii="Arial" w:eastAsia="Times New Roman" w:hAnsi="Arial" w:cs="Arial"/>
          <w:sz w:val="24"/>
          <w:szCs w:val="24"/>
          <w:lang w:eastAsia="en-GB"/>
        </w:rPr>
        <w:t xml:space="preserve">Looking at the premature mortality ratios, the ward was not reporting any significantly different ratios to the England national average. </w:t>
      </w:r>
    </w:p>
    <w:p w:rsidR="003F0E93" w:rsidRPr="003F0E93" w:rsidRDefault="003F0E93"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b/>
          <w:color w:val="000000"/>
          <w:sz w:val="24"/>
          <w:szCs w:val="24"/>
          <w:lang w:eastAsia="en-GB"/>
        </w:rPr>
      </w:pPr>
      <w:r w:rsidRPr="003F0E93">
        <w:rPr>
          <w:rFonts w:ascii="Arial" w:eastAsia="Times New Roman" w:hAnsi="Arial" w:cs="Arial"/>
          <w:b/>
          <w:color w:val="000000"/>
          <w:sz w:val="24"/>
          <w:szCs w:val="24"/>
          <w:lang w:eastAsia="en-GB"/>
        </w:rPr>
        <w:t>Proposed temporary Site: Preston New Road in Lancashire site</w:t>
      </w:r>
    </w:p>
    <w:p w:rsidR="003F0E93" w:rsidRPr="003F0E93" w:rsidRDefault="003F0E93" w:rsidP="003F0E93">
      <w:pPr>
        <w:spacing w:after="0" w:line="240" w:lineRule="auto"/>
        <w:rPr>
          <w:rFonts w:ascii="Arial" w:eastAsia="Times New Roman" w:hAnsi="Arial" w:cs="Arial"/>
          <w:sz w:val="24"/>
          <w:szCs w:val="24"/>
          <w:lang w:eastAsia="en-GB"/>
        </w:rPr>
      </w:pPr>
    </w:p>
    <w:p w:rsidR="003F0E93" w:rsidRPr="003F0E93" w:rsidRDefault="003F0E93" w:rsidP="003F0E93">
      <w:pPr>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The proposed temporary Preston New Road in Lancashire site is situated within the Warton and Westby ward of the Fylde district, situated fairly centrally within the district and boarding with the River Ribble to the South and the Blackpool district to the North. In 2013, the Office for National Statistics (ONS) estimated that this ward had a total population of 4,736</w:t>
      </w:r>
      <w:r w:rsidRPr="003F0E93">
        <w:rPr>
          <w:rFonts w:ascii="Arial" w:eastAsia="Times New Roman" w:hAnsi="Arial" w:cs="Arial"/>
          <w:sz w:val="24"/>
          <w:szCs w:val="24"/>
          <w:vertAlign w:val="superscript"/>
          <w:lang w:eastAsia="en-GB"/>
        </w:rPr>
        <w:footnoteReference w:id="7"/>
      </w:r>
      <w:r w:rsidRPr="003F0E93">
        <w:rPr>
          <w:rFonts w:ascii="Arial" w:eastAsia="Times New Roman" w:hAnsi="Arial" w:cs="Arial"/>
          <w:sz w:val="24"/>
          <w:szCs w:val="24"/>
          <w:lang w:eastAsia="en-GB"/>
        </w:rPr>
        <w:t>, with 44% (2,104) of residents aged 45 to 74 years old. An age gender breakdown of the population estimate shows that this ward has higher estimated proportions of residents aged between 45 to 84 years old than England as a whole (Figure 4).</w:t>
      </w:r>
    </w:p>
    <w:p w:rsidR="003F0E93" w:rsidRPr="003F0E93" w:rsidRDefault="003F0E93" w:rsidP="003F0E93">
      <w:pPr>
        <w:spacing w:after="0" w:line="240" w:lineRule="auto"/>
        <w:rPr>
          <w:rFonts w:ascii="Arial" w:eastAsia="Times New Roman" w:hAnsi="Arial" w:cs="Arial"/>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0"/>
          <w:szCs w:val="20"/>
          <w:lang w:eastAsia="en-GB"/>
        </w:rPr>
      </w:pPr>
      <w:r w:rsidRPr="003F0E93">
        <w:rPr>
          <w:rFonts w:ascii="Arial" w:eastAsia="Times New Roman" w:hAnsi="Arial" w:cs="Arial"/>
          <w:b/>
          <w:noProof/>
          <w:sz w:val="20"/>
          <w:szCs w:val="20"/>
          <w:lang w:eastAsia="en-GB"/>
        </w:rPr>
        <w:drawing>
          <wp:anchor distT="0" distB="0" distL="114300" distR="114300" simplePos="0" relativeHeight="251662336" behindDoc="1" locked="0" layoutInCell="1" allowOverlap="1" wp14:anchorId="2104FE0D" wp14:editId="579306B9">
            <wp:simplePos x="0" y="0"/>
            <wp:positionH relativeFrom="margin">
              <wp:align>left</wp:align>
            </wp:positionH>
            <wp:positionV relativeFrom="paragraph">
              <wp:posOffset>314325</wp:posOffset>
            </wp:positionV>
            <wp:extent cx="6286500" cy="2905125"/>
            <wp:effectExtent l="0" t="0" r="0" b="9525"/>
            <wp:wrapTight wrapText="bothSides">
              <wp:wrapPolygon edited="0">
                <wp:start x="0" y="0"/>
                <wp:lineTo x="0" y="21529"/>
                <wp:lineTo x="21535" y="21529"/>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E93">
        <w:rPr>
          <w:rFonts w:ascii="Arial" w:eastAsia="Times New Roman" w:hAnsi="Arial" w:cs="Arial"/>
          <w:b/>
          <w:sz w:val="20"/>
          <w:szCs w:val="20"/>
          <w:lang w:eastAsia="en-GB"/>
        </w:rPr>
        <w:t>Figure 4</w:t>
      </w:r>
      <w:r w:rsidRPr="003F0E93">
        <w:rPr>
          <w:rFonts w:ascii="Arial" w:eastAsia="Times New Roman" w:hAnsi="Arial" w:cs="Arial"/>
          <w:b/>
          <w:color w:val="000000"/>
          <w:sz w:val="20"/>
          <w:szCs w:val="20"/>
          <w:lang w:eastAsia="en-GB"/>
        </w:rPr>
        <w:t>:</w:t>
      </w:r>
      <w:r w:rsidRPr="003F0E93">
        <w:rPr>
          <w:rFonts w:ascii="Arial" w:eastAsia="Times New Roman" w:hAnsi="Arial" w:cs="Arial"/>
          <w:color w:val="000000"/>
          <w:sz w:val="16"/>
          <w:szCs w:val="16"/>
          <w:lang w:eastAsia="en-GB"/>
        </w:rPr>
        <w:t xml:space="preserve"> </w:t>
      </w:r>
      <w:r w:rsidRPr="003F0E93">
        <w:rPr>
          <w:rFonts w:ascii="Arial" w:eastAsia="Times New Roman" w:hAnsi="Arial" w:cs="Arial"/>
          <w:b/>
          <w:color w:val="000000"/>
          <w:sz w:val="20"/>
          <w:szCs w:val="20"/>
          <w:lang w:eastAsia="en-GB"/>
        </w:rPr>
        <w:t>Newton and Treales ONS Mid-2012 Population Estimate by Age band proportion and Gender</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 xml:space="preserve">Using the MOSAIC Public Sector Profiler, 19% of the population is categorised in </w:t>
      </w:r>
      <w:r w:rsidRPr="003F0E93">
        <w:rPr>
          <w:rFonts w:ascii="Arial" w:eastAsia="Times New Roman" w:hAnsi="Arial" w:cs="Arial"/>
          <w:b/>
          <w:color w:val="000000"/>
          <w:sz w:val="24"/>
          <w:szCs w:val="24"/>
          <w:lang w:eastAsia="en-GB"/>
        </w:rPr>
        <w:t>Group A: Country Living</w:t>
      </w:r>
      <w:r w:rsidRPr="003F0E93">
        <w:rPr>
          <w:rFonts w:ascii="Arial" w:eastAsia="Times New Roman" w:hAnsi="Arial" w:cs="Arial"/>
          <w:color w:val="000000"/>
          <w:sz w:val="24"/>
          <w:szCs w:val="24"/>
          <w:lang w:eastAsia="en-GB"/>
        </w:rPr>
        <w:t xml:space="preserve">, which referred to people considered to be well-off homeowners, who lived in the countryside often beyond easy commuting reach of </w:t>
      </w:r>
      <w:r w:rsidRPr="003F0E93">
        <w:rPr>
          <w:rFonts w:ascii="Arial" w:eastAsia="Times New Roman" w:hAnsi="Arial" w:cs="Arial"/>
          <w:color w:val="000000"/>
          <w:sz w:val="24"/>
          <w:szCs w:val="24"/>
          <w:lang w:eastAsia="en-GB"/>
        </w:rPr>
        <w:lastRenderedPageBreak/>
        <w:t>major towns and cities. Some people were landowners or farmers, others ran small businesses from home, some were retired and others commuted distances to professional jobs.</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0"/>
          <w:szCs w:val="20"/>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17% were classed in </w:t>
      </w:r>
      <w:r w:rsidRPr="003F0E93">
        <w:rPr>
          <w:rFonts w:ascii="Arial" w:eastAsia="Times New Roman" w:hAnsi="Arial" w:cs="Arial"/>
          <w:b/>
          <w:sz w:val="24"/>
          <w:szCs w:val="24"/>
          <w:lang w:eastAsia="en-GB"/>
        </w:rPr>
        <w:t>Group F: Senior Security</w:t>
      </w:r>
      <w:r w:rsidRPr="003F0E93">
        <w:rPr>
          <w:rFonts w:ascii="Arial" w:eastAsia="Times New Roman" w:hAnsi="Arial" w:cs="Arial"/>
          <w:sz w:val="24"/>
          <w:szCs w:val="24"/>
          <w:lang w:eastAsia="en-GB"/>
        </w:rPr>
        <w:t>, which relates to elderly singles and couples who lived independently in comfortable homes that they own. Property equity gives them a reassuring level of financial security. This group included people who have remained in their family homes after their children have left, and those who have chosen to downsize to live among others of similar ages and lifestyles.</w:t>
      </w: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Additionally, 14% of the population were classed in </w:t>
      </w:r>
      <w:r w:rsidRPr="003F0E93">
        <w:rPr>
          <w:rFonts w:ascii="Arial" w:eastAsia="Times New Roman" w:hAnsi="Arial" w:cs="Arial"/>
          <w:b/>
          <w:sz w:val="24"/>
          <w:szCs w:val="24"/>
          <w:lang w:eastAsia="en-GB"/>
        </w:rPr>
        <w:t>Group E: Suburban Stability</w:t>
      </w:r>
      <w:r w:rsidRPr="003F0E93">
        <w:rPr>
          <w:rFonts w:ascii="Arial" w:eastAsia="Times New Roman" w:hAnsi="Arial" w:cs="Arial"/>
          <w:sz w:val="24"/>
          <w:szCs w:val="24"/>
          <w:lang w:eastAsia="en-GB"/>
        </w:rPr>
        <w:t>, considered to be typically mature couples or families, some enjoying recent empty-nest status and others with older children still at home. They live in mid-range family homes in traditional suburbs where they have been settled for many years.</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0"/>
          <w:szCs w:val="20"/>
          <w:highlight w:val="yellow"/>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Using Public Health England's Local Health profile tool, the Warton and Westby ward has one of the highest life estimated life expectancy at birth (2008-12) for males in the Fylde district of 80 years old. The England national average was 79 years old. For females the ward has a life expectancy at birth (2008-12) of 82 years old and although this is one of the lower estimates in the district, it is in line with the England national average, across all wards, of 83 years old.</w:t>
      </w:r>
    </w:p>
    <w:p w:rsidR="003F0E93" w:rsidRPr="003F0E93" w:rsidRDefault="003F0E93"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The Environment and Health Atlas for England and Wales, reports that the </w:t>
      </w:r>
      <w:r w:rsidRPr="003F0E93">
        <w:rPr>
          <w:rFonts w:ascii="Arial" w:eastAsia="Times New Roman" w:hAnsi="Arial" w:cs="Arial"/>
          <w:color w:val="000000"/>
          <w:sz w:val="24"/>
          <w:szCs w:val="24"/>
          <w:lang w:eastAsia="en-GB"/>
        </w:rPr>
        <w:t>Warton and Westby ward has</w:t>
      </w:r>
      <w:r w:rsidRPr="003F0E93">
        <w:rPr>
          <w:rFonts w:ascii="Arial" w:eastAsia="Times New Roman" w:hAnsi="Arial" w:cs="Arial"/>
          <w:sz w:val="24"/>
          <w:szCs w:val="24"/>
          <w:lang w:eastAsia="en-GB"/>
        </w:rPr>
        <w:t xml:space="preserve"> above average relative risk for females, for the following conditions:</w:t>
      </w:r>
    </w:p>
    <w:p w:rsidR="003F0E93" w:rsidRPr="003F0E93" w:rsidRDefault="003F0E93" w:rsidP="003F0E93">
      <w:pPr>
        <w:autoSpaceDE w:val="0"/>
        <w:autoSpaceDN w:val="0"/>
        <w:adjustRightInd w:val="0"/>
        <w:spacing w:after="0" w:line="240" w:lineRule="auto"/>
        <w:jc w:val="both"/>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 </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Bladder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Chronic obstructive pulmonary disease (COPD);</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Heart Disease;</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Liver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Lung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Mesothelioma Cancer;</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Sill births; and</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Skin Cancer.</w:t>
      </w: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And for males it is estimated to have above average relative risk for the following areas:</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Chronic obstructive pulmonary disease (COPD)</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Heart Disease</w:t>
      </w:r>
    </w:p>
    <w:p w:rsidR="003F0E93" w:rsidRPr="003F0E93" w:rsidRDefault="003F0E93" w:rsidP="003F0E93">
      <w:pPr>
        <w:numPr>
          <w:ilvl w:val="0"/>
          <w:numId w:val="2"/>
        </w:numPr>
        <w:autoSpaceDE w:val="0"/>
        <w:autoSpaceDN w:val="0"/>
        <w:adjustRightInd w:val="0"/>
        <w:spacing w:after="0" w:line="240" w:lineRule="auto"/>
        <w:ind w:left="2552"/>
        <w:jc w:val="both"/>
        <w:rPr>
          <w:rFonts w:ascii="Arial" w:eastAsia="Times New Roman" w:hAnsi="Arial" w:cs="Arial"/>
          <w:color w:val="000000"/>
          <w:sz w:val="24"/>
          <w:szCs w:val="24"/>
          <w:lang w:eastAsia="en-GB"/>
        </w:rPr>
      </w:pPr>
      <w:r w:rsidRPr="003F0E93">
        <w:rPr>
          <w:rFonts w:ascii="Arial" w:eastAsia="Times New Roman" w:hAnsi="Arial" w:cs="Arial"/>
          <w:color w:val="000000"/>
          <w:sz w:val="24"/>
          <w:szCs w:val="24"/>
          <w:lang w:eastAsia="en-GB"/>
        </w:rPr>
        <w:t>Liver Cancer</w:t>
      </w:r>
    </w:p>
    <w:p w:rsidR="003F0E93" w:rsidRPr="003F0E93" w:rsidRDefault="003F0E93"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3F0E93" w:rsidRPr="003F0E93" w:rsidRDefault="003F0E93" w:rsidP="003F0E93">
      <w:pPr>
        <w:autoSpaceDE w:val="0"/>
        <w:autoSpaceDN w:val="0"/>
        <w:adjustRightInd w:val="0"/>
        <w:spacing w:after="0" w:line="240" w:lineRule="auto"/>
        <w:jc w:val="both"/>
        <w:rPr>
          <w:rFonts w:ascii="Arial" w:eastAsia="Times New Roman" w:hAnsi="Arial" w:cs="Arial"/>
          <w:b/>
          <w:color w:val="000000"/>
          <w:sz w:val="24"/>
          <w:szCs w:val="24"/>
          <w:lang w:eastAsia="en-GB"/>
        </w:rPr>
      </w:pPr>
      <w:r w:rsidRPr="003F0E93">
        <w:rPr>
          <w:rFonts w:ascii="Arial" w:eastAsia="Times New Roman" w:hAnsi="Arial" w:cs="Arial"/>
          <w:color w:val="000000"/>
          <w:sz w:val="24"/>
          <w:szCs w:val="24"/>
          <w:lang w:eastAsia="en-GB"/>
        </w:rPr>
        <w:t>Looking at the latest all-age mortality ratios, using the Local Health profile tool, this ward was not reporting any significantly different standardised mortality ratios (SMR), for any of the conditions examined (</w:t>
      </w:r>
      <w:r w:rsidRPr="003F0E93">
        <w:rPr>
          <w:rFonts w:ascii="Arial" w:eastAsia="Times New Roman" w:hAnsi="Arial" w:cs="Arial"/>
          <w:sz w:val="24"/>
          <w:szCs w:val="24"/>
          <w:lang w:eastAsia="en-GB"/>
        </w:rPr>
        <w:t>Figure 5).</w:t>
      </w:r>
    </w:p>
    <w:p w:rsidR="003F0E93" w:rsidRDefault="003F0E93"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0445F1" w:rsidRDefault="000445F1"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0445F1" w:rsidRDefault="000445F1"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0445F1" w:rsidRDefault="000445F1"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0445F1" w:rsidRDefault="000445F1"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0445F1" w:rsidRDefault="000445F1"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0445F1" w:rsidRDefault="000445F1"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0445F1" w:rsidRPr="003F0E93" w:rsidRDefault="000445F1" w:rsidP="003F0E93">
      <w:pPr>
        <w:autoSpaceDE w:val="0"/>
        <w:autoSpaceDN w:val="0"/>
        <w:adjustRightInd w:val="0"/>
        <w:spacing w:after="0" w:line="240" w:lineRule="auto"/>
        <w:jc w:val="both"/>
        <w:rPr>
          <w:rFonts w:ascii="Arial" w:eastAsia="Times New Roman" w:hAnsi="Arial" w:cs="Arial"/>
          <w:b/>
          <w:color w:val="000000"/>
          <w:sz w:val="20"/>
          <w:szCs w:val="20"/>
          <w:lang w:eastAsia="en-GB"/>
        </w:rPr>
      </w:pPr>
    </w:p>
    <w:p w:rsidR="003F0E93" w:rsidRPr="003F0E93" w:rsidRDefault="003F0E93" w:rsidP="003F0E93">
      <w:pPr>
        <w:spacing w:after="0" w:line="240" w:lineRule="auto"/>
        <w:jc w:val="both"/>
        <w:rPr>
          <w:rFonts w:ascii="Arial" w:eastAsia="Times New Roman" w:hAnsi="Arial" w:cs="Arial"/>
          <w:b/>
          <w:sz w:val="20"/>
          <w:szCs w:val="20"/>
          <w:lang w:eastAsia="en-GB"/>
        </w:rPr>
      </w:pPr>
      <w:r w:rsidRPr="003F0E93">
        <w:rPr>
          <w:rFonts w:ascii="Arial" w:eastAsia="Times New Roman" w:hAnsi="Arial" w:cs="Arial"/>
          <w:b/>
          <w:sz w:val="20"/>
          <w:szCs w:val="20"/>
          <w:lang w:eastAsia="en-GB"/>
        </w:rPr>
        <w:t>Figure 5: Warton and Westby, Causes of death, all ages, standardised mortality ratios (SMRs), 2008-12)</w:t>
      </w:r>
    </w:p>
    <w:p w:rsidR="003F0E93" w:rsidRPr="003F0E93" w:rsidRDefault="003F0E93" w:rsidP="003F0E93">
      <w:pPr>
        <w:spacing w:after="0" w:line="240" w:lineRule="auto"/>
        <w:jc w:val="both"/>
        <w:rPr>
          <w:rFonts w:ascii="Arial" w:eastAsia="Times New Roman" w:hAnsi="Arial" w:cs="Arial"/>
          <w:sz w:val="20"/>
          <w:szCs w:val="20"/>
          <w:lang w:eastAsia="en-GB"/>
        </w:rPr>
      </w:pPr>
      <w:r w:rsidRPr="003F0E93">
        <w:rPr>
          <w:rFonts w:ascii="Arial" w:eastAsia="Times New Roman" w:hAnsi="Arial" w:cs="Arial"/>
          <w:noProof/>
          <w:sz w:val="20"/>
          <w:szCs w:val="20"/>
          <w:lang w:eastAsia="en-GB"/>
        </w:rPr>
        <w:drawing>
          <wp:anchor distT="0" distB="0" distL="114300" distR="114300" simplePos="0" relativeHeight="251663360" behindDoc="1" locked="0" layoutInCell="1" allowOverlap="1" wp14:anchorId="3E75C46B" wp14:editId="46FD1536">
            <wp:simplePos x="0" y="0"/>
            <wp:positionH relativeFrom="column">
              <wp:posOffset>0</wp:posOffset>
            </wp:positionH>
            <wp:positionV relativeFrom="paragraph">
              <wp:posOffset>3810</wp:posOffset>
            </wp:positionV>
            <wp:extent cx="5562600" cy="1704975"/>
            <wp:effectExtent l="0" t="0" r="0" b="9525"/>
            <wp:wrapTight wrapText="bothSides">
              <wp:wrapPolygon edited="0">
                <wp:start x="0" y="0"/>
                <wp:lineTo x="0" y="21479"/>
                <wp:lineTo x="21526" y="21479"/>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E93" w:rsidRPr="003F0E93" w:rsidRDefault="003F0E93" w:rsidP="003F0E93">
      <w:pPr>
        <w:spacing w:after="0" w:line="240" w:lineRule="auto"/>
        <w:rPr>
          <w:rFonts w:ascii="Arial" w:eastAsia="Times New Roman" w:hAnsi="Arial" w:cs="Arial"/>
          <w:sz w:val="24"/>
          <w:szCs w:val="24"/>
          <w:lang w:eastAsia="en-GB"/>
        </w:rPr>
      </w:pPr>
      <w:r w:rsidRPr="003F0E93">
        <w:rPr>
          <w:rFonts w:ascii="Arial" w:eastAsia="Times New Roman" w:hAnsi="Arial" w:cs="Arial"/>
          <w:noProof/>
          <w:sz w:val="24"/>
          <w:szCs w:val="24"/>
          <w:lang w:eastAsia="en-GB"/>
        </w:rPr>
        <w:drawing>
          <wp:anchor distT="0" distB="0" distL="114300" distR="114300" simplePos="0" relativeHeight="251664384" behindDoc="1" locked="0" layoutInCell="1" allowOverlap="1" wp14:anchorId="7623985F" wp14:editId="4E9979F5">
            <wp:simplePos x="0" y="0"/>
            <wp:positionH relativeFrom="margin">
              <wp:posOffset>-409575</wp:posOffset>
            </wp:positionH>
            <wp:positionV relativeFrom="paragraph">
              <wp:posOffset>0</wp:posOffset>
            </wp:positionV>
            <wp:extent cx="6561455" cy="2543175"/>
            <wp:effectExtent l="0" t="0" r="0" b="9525"/>
            <wp:wrapTight wrapText="bothSides">
              <wp:wrapPolygon edited="0">
                <wp:start x="0" y="0"/>
                <wp:lineTo x="0" y="21519"/>
                <wp:lineTo x="21510" y="21519"/>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1455" cy="2543175"/>
                    </a:xfrm>
                    <a:prstGeom prst="rect">
                      <a:avLst/>
                    </a:prstGeom>
                    <a:noFill/>
                  </pic:spPr>
                </pic:pic>
              </a:graphicData>
            </a:graphic>
            <wp14:sizeRelH relativeFrom="page">
              <wp14:pctWidth>0</wp14:pctWidth>
            </wp14:sizeRelH>
            <wp14:sizeRelV relativeFrom="page">
              <wp14:pctHeight>0</wp14:pctHeight>
            </wp14:sizeRelV>
          </wp:anchor>
        </w:drawing>
      </w:r>
      <w:r w:rsidRPr="003F0E93">
        <w:rPr>
          <w:rFonts w:ascii="Arial" w:eastAsia="Times New Roman" w:hAnsi="Arial" w:cs="Arial"/>
          <w:sz w:val="24"/>
          <w:szCs w:val="24"/>
          <w:lang w:eastAsia="en-GB"/>
        </w:rPr>
        <w:t xml:space="preserve">The situation was the same with the premature mortality figures, with the ward not reporting any significantly different SMRs from the England national ratios. </w:t>
      </w:r>
    </w:p>
    <w:p w:rsidR="003F0E93" w:rsidRPr="003F0E93" w:rsidRDefault="003F0E93" w:rsidP="003F0E93">
      <w:pPr>
        <w:spacing w:after="0" w:line="240" w:lineRule="auto"/>
        <w:rPr>
          <w:rFonts w:ascii="Arial" w:eastAsia="Times New Roman" w:hAnsi="Arial" w:cs="Arial"/>
          <w:sz w:val="24"/>
          <w:szCs w:val="24"/>
          <w:lang w:eastAsia="en-GB"/>
        </w:rPr>
      </w:pPr>
    </w:p>
    <w:p w:rsidR="003F0E93" w:rsidRPr="003F0E93" w:rsidRDefault="003F0E93" w:rsidP="003F0E93">
      <w:pPr>
        <w:spacing w:after="0" w:line="240" w:lineRule="auto"/>
        <w:rPr>
          <w:rFonts w:ascii="Arial" w:eastAsia="Times New Roman" w:hAnsi="Arial" w:cs="Arial"/>
          <w:sz w:val="24"/>
          <w:szCs w:val="24"/>
          <w:lang w:eastAsia="en-GB"/>
        </w:rPr>
      </w:pPr>
      <w:r w:rsidRPr="003F0E93" w:rsidDel="00181D05">
        <w:rPr>
          <w:rFonts w:ascii="Arial" w:eastAsia="Times New Roman" w:hAnsi="Arial" w:cs="Arial"/>
          <w:sz w:val="24"/>
          <w:szCs w:val="24"/>
          <w:lang w:eastAsia="en-GB"/>
        </w:rPr>
        <w:t>F</w:t>
      </w:r>
      <w:r w:rsidRPr="003F0E93">
        <w:rPr>
          <w:rFonts w:ascii="Arial" w:eastAsia="Times New Roman" w:hAnsi="Arial" w:cs="Arial"/>
          <w:sz w:val="24"/>
          <w:szCs w:val="24"/>
          <w:lang w:eastAsia="en-GB"/>
        </w:rPr>
        <w:t xml:space="preserve">. </w:t>
      </w:r>
    </w:p>
    <w:p w:rsidR="003F0E93" w:rsidRPr="003F0E93" w:rsidRDefault="003F0E93" w:rsidP="003F0E93">
      <w:pPr>
        <w:spacing w:after="0" w:line="240" w:lineRule="auto"/>
        <w:rPr>
          <w:rFonts w:ascii="Arial" w:eastAsia="Times New Roman" w:hAnsi="Arial" w:cs="Arial"/>
          <w:sz w:val="24"/>
          <w:szCs w:val="24"/>
          <w:lang w:eastAsia="en-GB"/>
        </w:rPr>
      </w:pPr>
    </w:p>
    <w:p w:rsidR="003F0E93" w:rsidRPr="003F0E93" w:rsidRDefault="003F0E93" w:rsidP="003F0E93">
      <w:pPr>
        <w:spacing w:after="0" w:line="240" w:lineRule="auto"/>
        <w:rPr>
          <w:rFonts w:ascii="Arial" w:eastAsia="Times New Roman" w:hAnsi="Arial" w:cs="Arial"/>
          <w:sz w:val="24"/>
          <w:szCs w:val="24"/>
          <w:lang w:eastAsia="en-GB"/>
        </w:rPr>
      </w:pPr>
      <w:r w:rsidRPr="003F0E93">
        <w:rPr>
          <w:rFonts w:ascii="Arial" w:eastAsia="Times New Roman" w:hAnsi="Arial" w:cs="Arial"/>
          <w:sz w:val="24"/>
          <w:szCs w:val="24"/>
          <w:lang w:eastAsia="en-GB"/>
        </w:rPr>
        <w:t xml:space="preserve">A separate profile of people living within 2 and 5 mile radius is described below. </w:t>
      </w:r>
    </w:p>
    <w:p w:rsidR="003F0E93" w:rsidRPr="003F0E93" w:rsidRDefault="003F0E93" w:rsidP="003F0E93">
      <w:pPr>
        <w:spacing w:after="0" w:line="240" w:lineRule="auto"/>
        <w:rPr>
          <w:rFonts w:ascii="Arial" w:eastAsia="Times New Roman" w:hAnsi="Arial" w:cs="Times New Roman"/>
          <w:b/>
          <w:sz w:val="24"/>
          <w:szCs w:val="24"/>
          <w:lang w:eastAsia="en-GB"/>
        </w:rPr>
      </w:pPr>
      <w:r w:rsidRPr="003F0E93">
        <w:rPr>
          <w:rFonts w:ascii="Arial" w:eastAsia="Times New Roman" w:hAnsi="Arial" w:cs="Times New Roman"/>
          <w:b/>
          <w:sz w:val="24"/>
          <w:szCs w:val="24"/>
          <w:lang w:eastAsia="en-GB"/>
        </w:rPr>
        <w:t>Proposed Site: Plumpton Hall Farm</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2 mile radius</w:t>
      </w:r>
    </w:p>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population within a 2 mile radius is 4,332.A little more than half of them are women. The population density of the area is 20 people per hectare. There are 922 people aged 0-19 years old within a 2 mile radius. They make up 21.3% of the area population. There are 2,384 people aged 20 to 64 years (55% of the population). 1,026 people are aged 65 and over (23.7% of the population).   </w:t>
      </w:r>
    </w:p>
    <w:p w:rsidR="003F0E93" w:rsidRPr="003F0E93" w:rsidRDefault="003F0E93" w:rsidP="003F0E93">
      <w:pPr>
        <w:spacing w:after="0" w:line="240" w:lineRule="auto"/>
        <w:rPr>
          <w:rFonts w:ascii="Arial" w:eastAsia="Times New Roman" w:hAnsi="Arial" w:cs="Times New Roman"/>
          <w:b/>
          <w:sz w:val="24"/>
          <w:szCs w:val="20"/>
          <w:lang w:eastAsia="en-GB"/>
        </w:rPr>
      </w:pPr>
    </w:p>
    <w:tbl>
      <w:tblPr>
        <w:tblStyle w:val="TableGrid"/>
        <w:tblW w:w="9214" w:type="dxa"/>
        <w:tblInd w:w="-5" w:type="dxa"/>
        <w:tblLook w:val="04A0" w:firstRow="1" w:lastRow="0" w:firstColumn="1" w:lastColumn="0" w:noHBand="0" w:noVBand="1"/>
      </w:tblPr>
      <w:tblGrid>
        <w:gridCol w:w="1444"/>
        <w:gridCol w:w="944"/>
        <w:gridCol w:w="1177"/>
        <w:gridCol w:w="1364"/>
        <w:gridCol w:w="1456"/>
        <w:gridCol w:w="810"/>
        <w:gridCol w:w="970"/>
        <w:gridCol w:w="1049"/>
      </w:tblGrid>
      <w:tr w:rsidR="003F0E93" w:rsidRPr="003F0E93" w:rsidTr="009B57D5">
        <w:tc>
          <w:tcPr>
            <w:tcW w:w="1276" w:type="dxa"/>
          </w:tcPr>
          <w:p w:rsidR="003F0E93" w:rsidRPr="003F0E93" w:rsidRDefault="003F0E93" w:rsidP="003F0E93">
            <w:pPr>
              <w:jc w:val="center"/>
              <w:rPr>
                <w:rFonts w:ascii="Arial" w:hAnsi="Arial"/>
                <w:b/>
                <w:sz w:val="24"/>
              </w:rPr>
            </w:pPr>
            <w:r w:rsidRPr="003F0E93">
              <w:rPr>
                <w:rFonts w:ascii="Arial" w:hAnsi="Arial"/>
                <w:b/>
                <w:sz w:val="24"/>
              </w:rPr>
              <w:t>Total population</w:t>
            </w:r>
          </w:p>
        </w:tc>
        <w:tc>
          <w:tcPr>
            <w:tcW w:w="992" w:type="dxa"/>
          </w:tcPr>
          <w:p w:rsidR="003F0E93" w:rsidRPr="003F0E93" w:rsidRDefault="003F0E93" w:rsidP="003F0E93">
            <w:pPr>
              <w:jc w:val="center"/>
              <w:rPr>
                <w:rFonts w:ascii="Arial" w:hAnsi="Arial"/>
                <w:b/>
                <w:sz w:val="24"/>
              </w:rPr>
            </w:pPr>
            <w:r w:rsidRPr="003F0E93">
              <w:rPr>
                <w:rFonts w:ascii="Arial" w:hAnsi="Arial"/>
                <w:b/>
                <w:sz w:val="24"/>
              </w:rPr>
              <w:t>Males</w:t>
            </w:r>
          </w:p>
        </w:tc>
        <w:tc>
          <w:tcPr>
            <w:tcW w:w="1134" w:type="dxa"/>
          </w:tcPr>
          <w:p w:rsidR="003F0E93" w:rsidRPr="003F0E93" w:rsidRDefault="003F0E93" w:rsidP="003F0E93">
            <w:pPr>
              <w:jc w:val="center"/>
              <w:rPr>
                <w:rFonts w:ascii="Arial" w:hAnsi="Arial"/>
                <w:b/>
                <w:sz w:val="24"/>
              </w:rPr>
            </w:pPr>
            <w:r w:rsidRPr="003F0E93">
              <w:rPr>
                <w:rFonts w:ascii="Arial" w:hAnsi="Arial"/>
                <w:b/>
                <w:sz w:val="24"/>
              </w:rPr>
              <w:t>Females</w:t>
            </w:r>
          </w:p>
        </w:tc>
        <w:tc>
          <w:tcPr>
            <w:tcW w:w="1136" w:type="dxa"/>
          </w:tcPr>
          <w:p w:rsidR="003F0E93" w:rsidRPr="003F0E93" w:rsidRDefault="003F0E93" w:rsidP="003F0E93">
            <w:pPr>
              <w:jc w:val="center"/>
              <w:rPr>
                <w:rFonts w:ascii="Arial" w:hAnsi="Arial"/>
                <w:b/>
                <w:sz w:val="24"/>
              </w:rPr>
            </w:pPr>
            <w:r w:rsidRPr="003F0E93">
              <w:rPr>
                <w:rFonts w:ascii="Arial" w:hAnsi="Arial"/>
                <w:b/>
                <w:sz w:val="24"/>
              </w:rPr>
              <w:t>Area (hectares)</w:t>
            </w:r>
          </w:p>
        </w:tc>
        <w:tc>
          <w:tcPr>
            <w:tcW w:w="1274" w:type="dxa"/>
          </w:tcPr>
          <w:p w:rsidR="003F0E93" w:rsidRPr="003F0E93" w:rsidRDefault="003F0E93" w:rsidP="003F0E93">
            <w:pPr>
              <w:jc w:val="center"/>
              <w:rPr>
                <w:rFonts w:ascii="Arial" w:hAnsi="Arial"/>
                <w:b/>
                <w:sz w:val="24"/>
              </w:rPr>
            </w:pPr>
            <w:r w:rsidRPr="003F0E93">
              <w:rPr>
                <w:rFonts w:ascii="Arial" w:hAnsi="Arial"/>
                <w:b/>
                <w:sz w:val="24"/>
              </w:rPr>
              <w:t>Population density</w:t>
            </w:r>
          </w:p>
        </w:tc>
        <w:tc>
          <w:tcPr>
            <w:tcW w:w="992" w:type="dxa"/>
          </w:tcPr>
          <w:p w:rsidR="003F0E93" w:rsidRPr="003F0E93" w:rsidRDefault="003F0E93" w:rsidP="003F0E93">
            <w:pPr>
              <w:jc w:val="center"/>
              <w:rPr>
                <w:rFonts w:ascii="Arial" w:hAnsi="Arial"/>
                <w:b/>
                <w:sz w:val="24"/>
              </w:rPr>
            </w:pPr>
            <w:r w:rsidRPr="003F0E93">
              <w:rPr>
                <w:rFonts w:ascii="Arial" w:hAnsi="Arial"/>
                <w:b/>
                <w:sz w:val="24"/>
              </w:rPr>
              <w:t>0-19</w:t>
            </w:r>
          </w:p>
        </w:tc>
        <w:tc>
          <w:tcPr>
            <w:tcW w:w="1134" w:type="dxa"/>
          </w:tcPr>
          <w:p w:rsidR="003F0E93" w:rsidRPr="003F0E93" w:rsidRDefault="003F0E93" w:rsidP="003F0E93">
            <w:pPr>
              <w:jc w:val="center"/>
              <w:rPr>
                <w:rFonts w:ascii="Arial" w:hAnsi="Arial"/>
                <w:b/>
                <w:sz w:val="24"/>
              </w:rPr>
            </w:pPr>
            <w:r w:rsidRPr="003F0E93">
              <w:rPr>
                <w:rFonts w:ascii="Arial" w:hAnsi="Arial"/>
                <w:b/>
                <w:sz w:val="24"/>
              </w:rPr>
              <w:t>20-64</w:t>
            </w:r>
          </w:p>
        </w:tc>
        <w:tc>
          <w:tcPr>
            <w:tcW w:w="1276" w:type="dxa"/>
          </w:tcPr>
          <w:p w:rsidR="003F0E93" w:rsidRPr="003F0E93" w:rsidRDefault="003F0E93" w:rsidP="003F0E93">
            <w:pPr>
              <w:jc w:val="center"/>
              <w:rPr>
                <w:rFonts w:ascii="Arial" w:hAnsi="Arial"/>
                <w:b/>
                <w:sz w:val="24"/>
              </w:rPr>
            </w:pPr>
            <w:r w:rsidRPr="003F0E93">
              <w:rPr>
                <w:rFonts w:ascii="Arial" w:hAnsi="Arial"/>
                <w:b/>
                <w:sz w:val="24"/>
              </w:rPr>
              <w:t>65 and over</w:t>
            </w:r>
          </w:p>
        </w:tc>
      </w:tr>
      <w:tr w:rsidR="003F0E93" w:rsidRPr="003F0E93" w:rsidTr="009B57D5">
        <w:tc>
          <w:tcPr>
            <w:tcW w:w="1276" w:type="dxa"/>
            <w:tcBorders>
              <w:bottom w:val="single" w:sz="4" w:space="0" w:color="auto"/>
            </w:tcBorders>
          </w:tcPr>
          <w:p w:rsidR="003F0E93" w:rsidRPr="003F0E93" w:rsidRDefault="003F0E93" w:rsidP="003F0E93">
            <w:pPr>
              <w:autoSpaceDE w:val="0"/>
              <w:autoSpaceDN w:val="0"/>
              <w:adjustRightInd w:val="0"/>
              <w:jc w:val="right"/>
              <w:rPr>
                <w:rFonts w:cs="Calibri"/>
                <w:color w:val="000000"/>
                <w:sz w:val="24"/>
              </w:rPr>
            </w:pPr>
            <w:r w:rsidRPr="003F0E93">
              <w:rPr>
                <w:rFonts w:cs="Calibri"/>
                <w:color w:val="000000"/>
                <w:sz w:val="24"/>
              </w:rPr>
              <w:t>4,332</w:t>
            </w:r>
          </w:p>
        </w:tc>
        <w:tc>
          <w:tcPr>
            <w:tcW w:w="992" w:type="dxa"/>
            <w:tcBorders>
              <w:bottom w:val="single" w:sz="4" w:space="0" w:color="auto"/>
            </w:tcBorders>
          </w:tcPr>
          <w:p w:rsidR="003F0E93" w:rsidRPr="003F0E93" w:rsidRDefault="003F0E93" w:rsidP="003F0E93">
            <w:pPr>
              <w:autoSpaceDE w:val="0"/>
              <w:autoSpaceDN w:val="0"/>
              <w:adjustRightInd w:val="0"/>
              <w:jc w:val="right"/>
              <w:rPr>
                <w:rFonts w:cs="Calibri"/>
                <w:color w:val="000000"/>
                <w:sz w:val="24"/>
              </w:rPr>
            </w:pPr>
            <w:r w:rsidRPr="003F0E93">
              <w:rPr>
                <w:rFonts w:cs="Calibri"/>
                <w:color w:val="000000"/>
                <w:sz w:val="24"/>
              </w:rPr>
              <w:t>2,108</w:t>
            </w:r>
          </w:p>
        </w:tc>
        <w:tc>
          <w:tcPr>
            <w:tcW w:w="1134" w:type="dxa"/>
            <w:tcBorders>
              <w:bottom w:val="single" w:sz="4" w:space="0" w:color="auto"/>
            </w:tcBorders>
          </w:tcPr>
          <w:p w:rsidR="003F0E93" w:rsidRPr="003F0E93" w:rsidRDefault="003F0E93" w:rsidP="003F0E93">
            <w:pPr>
              <w:autoSpaceDE w:val="0"/>
              <w:autoSpaceDN w:val="0"/>
              <w:adjustRightInd w:val="0"/>
              <w:jc w:val="right"/>
              <w:rPr>
                <w:rFonts w:cs="Calibri"/>
                <w:color w:val="000000"/>
                <w:sz w:val="24"/>
              </w:rPr>
            </w:pPr>
            <w:r w:rsidRPr="003F0E93">
              <w:rPr>
                <w:rFonts w:cs="Calibri"/>
                <w:color w:val="000000"/>
                <w:sz w:val="24"/>
              </w:rPr>
              <w:t>2,224</w:t>
            </w:r>
          </w:p>
        </w:tc>
        <w:tc>
          <w:tcPr>
            <w:tcW w:w="1136" w:type="dxa"/>
            <w:tcBorders>
              <w:bottom w:val="single" w:sz="4" w:space="0" w:color="auto"/>
            </w:tcBorders>
          </w:tcPr>
          <w:p w:rsidR="003F0E93" w:rsidRPr="003F0E93" w:rsidRDefault="003F0E93" w:rsidP="003F0E93">
            <w:pPr>
              <w:jc w:val="right"/>
              <w:rPr>
                <w:rFonts w:ascii="Arial" w:hAnsi="Arial"/>
                <w:sz w:val="24"/>
              </w:rPr>
            </w:pPr>
            <w:r w:rsidRPr="003F0E93">
              <w:rPr>
                <w:rFonts w:ascii="Arial" w:hAnsi="Arial"/>
                <w:sz w:val="24"/>
              </w:rPr>
              <w:t>3,545</w:t>
            </w:r>
          </w:p>
        </w:tc>
        <w:tc>
          <w:tcPr>
            <w:tcW w:w="1274" w:type="dxa"/>
            <w:tcBorders>
              <w:bottom w:val="single" w:sz="4" w:space="0" w:color="auto"/>
            </w:tcBorders>
          </w:tcPr>
          <w:p w:rsidR="003F0E93" w:rsidRPr="003F0E93" w:rsidRDefault="003F0E93" w:rsidP="003F0E93">
            <w:pPr>
              <w:jc w:val="right"/>
              <w:rPr>
                <w:rFonts w:ascii="Arial" w:hAnsi="Arial"/>
                <w:sz w:val="24"/>
              </w:rPr>
            </w:pPr>
            <w:r w:rsidRPr="003F0E93">
              <w:rPr>
                <w:rFonts w:ascii="Arial" w:hAnsi="Arial"/>
                <w:sz w:val="24"/>
              </w:rPr>
              <w:t>19.9</w:t>
            </w:r>
          </w:p>
        </w:tc>
        <w:tc>
          <w:tcPr>
            <w:tcW w:w="992" w:type="dxa"/>
            <w:tcBorders>
              <w:bottom w:val="single" w:sz="4" w:space="0" w:color="auto"/>
            </w:tcBorders>
            <w:vAlign w:val="bottom"/>
          </w:tcPr>
          <w:p w:rsidR="003F0E93" w:rsidRPr="003F0E93" w:rsidRDefault="003F0E93" w:rsidP="003F0E93">
            <w:pPr>
              <w:jc w:val="right"/>
              <w:rPr>
                <w:color w:val="000000"/>
                <w:sz w:val="24"/>
              </w:rPr>
            </w:pPr>
            <w:r w:rsidRPr="003F0E93">
              <w:rPr>
                <w:color w:val="000000"/>
                <w:sz w:val="24"/>
              </w:rPr>
              <w:t>922</w:t>
            </w:r>
          </w:p>
        </w:tc>
        <w:tc>
          <w:tcPr>
            <w:tcW w:w="1134" w:type="dxa"/>
            <w:tcBorders>
              <w:bottom w:val="single" w:sz="4" w:space="0" w:color="auto"/>
            </w:tcBorders>
            <w:vAlign w:val="bottom"/>
          </w:tcPr>
          <w:p w:rsidR="003F0E93" w:rsidRPr="003F0E93" w:rsidRDefault="003F0E93" w:rsidP="003F0E93">
            <w:pPr>
              <w:jc w:val="right"/>
              <w:rPr>
                <w:color w:val="000000"/>
                <w:sz w:val="24"/>
              </w:rPr>
            </w:pPr>
            <w:r w:rsidRPr="003F0E93">
              <w:rPr>
                <w:color w:val="000000"/>
                <w:sz w:val="24"/>
              </w:rPr>
              <w:t>2,384</w:t>
            </w:r>
          </w:p>
        </w:tc>
        <w:tc>
          <w:tcPr>
            <w:tcW w:w="1276" w:type="dxa"/>
            <w:tcBorders>
              <w:bottom w:val="single" w:sz="4" w:space="0" w:color="auto"/>
            </w:tcBorders>
            <w:vAlign w:val="bottom"/>
          </w:tcPr>
          <w:p w:rsidR="003F0E93" w:rsidRPr="003F0E93" w:rsidRDefault="003F0E93" w:rsidP="003F0E93">
            <w:pPr>
              <w:jc w:val="right"/>
              <w:rPr>
                <w:color w:val="000000"/>
                <w:sz w:val="24"/>
              </w:rPr>
            </w:pPr>
            <w:r w:rsidRPr="003F0E93">
              <w:rPr>
                <w:color w:val="000000"/>
                <w:sz w:val="24"/>
              </w:rPr>
              <w:t>1,026</w:t>
            </w:r>
          </w:p>
        </w:tc>
      </w:tr>
    </w:tbl>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Most of the population (3,331 people, 77%) did not have long-term conditions or health problems that limited their day-to-day activities. 482 people (11%) had day-to-day </w:t>
      </w:r>
      <w:r w:rsidRPr="003F0E93">
        <w:rPr>
          <w:rFonts w:ascii="Arial" w:eastAsia="Times New Roman" w:hAnsi="Arial" w:cs="Times New Roman"/>
          <w:sz w:val="24"/>
          <w:szCs w:val="20"/>
          <w:lang w:eastAsia="en-GB"/>
        </w:rPr>
        <w:lastRenderedPageBreak/>
        <w:t xml:space="preserve">activities limited a lot and a further 519 (12%) people had them limited a little. Most of the population (3,329 people, 76.8%) had very good or good health. 324 people (7.5%) had very bad or bad health. </w:t>
      </w:r>
    </w:p>
    <w:p w:rsidR="003F0E93" w:rsidRPr="003F0E93" w:rsidRDefault="003F0E93" w:rsidP="003F0E93">
      <w:pPr>
        <w:spacing w:after="0" w:line="240" w:lineRule="auto"/>
        <w:rPr>
          <w:rFonts w:ascii="Arial" w:eastAsia="Times New Roman" w:hAnsi="Arial" w:cs="Times New Roman"/>
          <w:b/>
          <w:sz w:val="24"/>
          <w:szCs w:val="20"/>
          <w:lang w:eastAsia="en-GB"/>
        </w:rPr>
      </w:pPr>
    </w:p>
    <w:tbl>
      <w:tblPr>
        <w:tblStyle w:val="TableGrid"/>
        <w:tblW w:w="9776" w:type="dxa"/>
        <w:tblLook w:val="04A0" w:firstRow="1" w:lastRow="0" w:firstColumn="1" w:lastColumn="0" w:noHBand="0" w:noVBand="1"/>
      </w:tblPr>
      <w:tblGrid>
        <w:gridCol w:w="1418"/>
        <w:gridCol w:w="1559"/>
        <w:gridCol w:w="1276"/>
        <w:gridCol w:w="987"/>
        <w:gridCol w:w="992"/>
        <w:gridCol w:w="1134"/>
        <w:gridCol w:w="1276"/>
        <w:gridCol w:w="1134"/>
      </w:tblGrid>
      <w:tr w:rsidR="003F0E93" w:rsidRPr="003F0E93" w:rsidTr="009B57D5">
        <w:tc>
          <w:tcPr>
            <w:tcW w:w="1418" w:type="dxa"/>
          </w:tcPr>
          <w:p w:rsidR="003F0E93" w:rsidRPr="003F0E93" w:rsidRDefault="003F0E93" w:rsidP="003F0E93">
            <w:pPr>
              <w:jc w:val="center"/>
              <w:rPr>
                <w:rFonts w:ascii="Arial" w:hAnsi="Arial"/>
                <w:b/>
                <w:sz w:val="24"/>
              </w:rPr>
            </w:pPr>
            <w:r w:rsidRPr="003F0E93">
              <w:rPr>
                <w:rFonts w:ascii="Arial" w:hAnsi="Arial"/>
                <w:b/>
                <w:sz w:val="24"/>
              </w:rPr>
              <w:t>Day-to-day activities limited a lot</w:t>
            </w:r>
          </w:p>
        </w:tc>
        <w:tc>
          <w:tcPr>
            <w:tcW w:w="1559" w:type="dxa"/>
          </w:tcPr>
          <w:p w:rsidR="003F0E93" w:rsidRPr="003F0E93" w:rsidRDefault="003F0E93" w:rsidP="003F0E93">
            <w:pPr>
              <w:jc w:val="center"/>
              <w:rPr>
                <w:rFonts w:ascii="Arial" w:hAnsi="Arial"/>
                <w:b/>
                <w:sz w:val="24"/>
              </w:rPr>
            </w:pPr>
            <w:r w:rsidRPr="003F0E93">
              <w:rPr>
                <w:rFonts w:ascii="Arial" w:hAnsi="Arial"/>
                <w:b/>
                <w:sz w:val="24"/>
              </w:rPr>
              <w:t>Day-to-day activities limited a little</w:t>
            </w:r>
          </w:p>
        </w:tc>
        <w:tc>
          <w:tcPr>
            <w:tcW w:w="1276" w:type="dxa"/>
          </w:tcPr>
          <w:p w:rsidR="003F0E93" w:rsidRPr="003F0E93" w:rsidRDefault="003F0E93" w:rsidP="003F0E93">
            <w:pPr>
              <w:jc w:val="center"/>
              <w:rPr>
                <w:rFonts w:ascii="Arial" w:hAnsi="Arial"/>
                <w:b/>
                <w:sz w:val="24"/>
              </w:rPr>
            </w:pPr>
            <w:r w:rsidRPr="003F0E93">
              <w:rPr>
                <w:rFonts w:ascii="Arial" w:hAnsi="Arial"/>
                <w:b/>
                <w:sz w:val="24"/>
              </w:rPr>
              <w:t>Day-to-day activities not limited</w:t>
            </w:r>
          </w:p>
        </w:tc>
        <w:tc>
          <w:tcPr>
            <w:tcW w:w="987" w:type="dxa"/>
          </w:tcPr>
          <w:p w:rsidR="003F0E93" w:rsidRPr="003F0E93" w:rsidRDefault="003F0E93" w:rsidP="003F0E93">
            <w:pPr>
              <w:jc w:val="center"/>
              <w:rPr>
                <w:rFonts w:ascii="Arial" w:hAnsi="Arial"/>
                <w:b/>
                <w:sz w:val="24"/>
              </w:rPr>
            </w:pPr>
            <w:r w:rsidRPr="003F0E93">
              <w:rPr>
                <w:rFonts w:ascii="Arial" w:hAnsi="Arial"/>
                <w:b/>
                <w:sz w:val="24"/>
              </w:rPr>
              <w:t>Health – very good</w:t>
            </w:r>
          </w:p>
        </w:tc>
        <w:tc>
          <w:tcPr>
            <w:tcW w:w="992" w:type="dxa"/>
          </w:tcPr>
          <w:p w:rsidR="003F0E93" w:rsidRPr="003F0E93" w:rsidRDefault="003F0E93" w:rsidP="003F0E93">
            <w:pPr>
              <w:jc w:val="center"/>
              <w:rPr>
                <w:rFonts w:ascii="Arial" w:hAnsi="Arial"/>
                <w:b/>
                <w:sz w:val="24"/>
              </w:rPr>
            </w:pPr>
            <w:r w:rsidRPr="003F0E93">
              <w:rPr>
                <w:rFonts w:ascii="Arial" w:hAnsi="Arial"/>
                <w:b/>
                <w:sz w:val="24"/>
              </w:rPr>
              <w:t>Health – good</w:t>
            </w:r>
          </w:p>
        </w:tc>
        <w:tc>
          <w:tcPr>
            <w:tcW w:w="1134" w:type="dxa"/>
          </w:tcPr>
          <w:p w:rsidR="003F0E93" w:rsidRPr="003F0E93" w:rsidRDefault="003F0E93" w:rsidP="003F0E93">
            <w:pPr>
              <w:jc w:val="center"/>
              <w:rPr>
                <w:rFonts w:ascii="Arial" w:hAnsi="Arial"/>
                <w:b/>
                <w:sz w:val="24"/>
              </w:rPr>
            </w:pPr>
            <w:r w:rsidRPr="003F0E93">
              <w:rPr>
                <w:rFonts w:ascii="Arial" w:hAnsi="Arial"/>
                <w:b/>
                <w:sz w:val="24"/>
              </w:rPr>
              <w:t>Health – fair</w:t>
            </w:r>
          </w:p>
        </w:tc>
        <w:tc>
          <w:tcPr>
            <w:tcW w:w="1276" w:type="dxa"/>
          </w:tcPr>
          <w:p w:rsidR="003F0E93" w:rsidRPr="003F0E93" w:rsidRDefault="003F0E93" w:rsidP="003F0E93">
            <w:pPr>
              <w:jc w:val="center"/>
              <w:rPr>
                <w:rFonts w:ascii="Arial" w:hAnsi="Arial"/>
                <w:b/>
                <w:sz w:val="24"/>
              </w:rPr>
            </w:pPr>
            <w:r w:rsidRPr="003F0E93">
              <w:rPr>
                <w:rFonts w:ascii="Arial" w:hAnsi="Arial"/>
                <w:b/>
                <w:sz w:val="24"/>
              </w:rPr>
              <w:t xml:space="preserve">Heath – bad </w:t>
            </w:r>
          </w:p>
        </w:tc>
        <w:tc>
          <w:tcPr>
            <w:tcW w:w="1134" w:type="dxa"/>
          </w:tcPr>
          <w:p w:rsidR="003F0E93" w:rsidRPr="003F0E93" w:rsidRDefault="003F0E93" w:rsidP="003F0E93">
            <w:pPr>
              <w:jc w:val="center"/>
              <w:rPr>
                <w:rFonts w:ascii="Arial" w:hAnsi="Arial"/>
                <w:b/>
                <w:sz w:val="24"/>
              </w:rPr>
            </w:pPr>
            <w:r w:rsidRPr="003F0E93">
              <w:rPr>
                <w:rFonts w:ascii="Arial" w:hAnsi="Arial"/>
                <w:b/>
                <w:sz w:val="24"/>
              </w:rPr>
              <w:t xml:space="preserve">Health – very bad </w:t>
            </w:r>
          </w:p>
        </w:tc>
      </w:tr>
      <w:tr w:rsidR="003F0E93" w:rsidRPr="003F0E93" w:rsidTr="009B57D5">
        <w:tc>
          <w:tcPr>
            <w:tcW w:w="1418" w:type="dxa"/>
            <w:shd w:val="clear" w:color="auto" w:fill="auto"/>
            <w:vAlign w:val="bottom"/>
          </w:tcPr>
          <w:p w:rsidR="003F0E93" w:rsidRPr="003F0E93" w:rsidRDefault="003F0E93" w:rsidP="003F0E93">
            <w:pPr>
              <w:jc w:val="right"/>
              <w:rPr>
                <w:color w:val="000000"/>
                <w:sz w:val="24"/>
              </w:rPr>
            </w:pPr>
            <w:r w:rsidRPr="003F0E93">
              <w:rPr>
                <w:color w:val="000000"/>
                <w:sz w:val="24"/>
              </w:rPr>
              <w:t>482</w:t>
            </w:r>
          </w:p>
        </w:tc>
        <w:tc>
          <w:tcPr>
            <w:tcW w:w="1559" w:type="dxa"/>
            <w:shd w:val="clear" w:color="auto" w:fill="auto"/>
            <w:vAlign w:val="bottom"/>
          </w:tcPr>
          <w:p w:rsidR="003F0E93" w:rsidRPr="003F0E93" w:rsidRDefault="003F0E93" w:rsidP="003F0E93">
            <w:pPr>
              <w:jc w:val="right"/>
              <w:rPr>
                <w:color w:val="000000"/>
                <w:sz w:val="24"/>
              </w:rPr>
            </w:pPr>
            <w:r w:rsidRPr="003F0E93">
              <w:rPr>
                <w:color w:val="000000"/>
                <w:sz w:val="24"/>
              </w:rPr>
              <w:t>519</w:t>
            </w:r>
          </w:p>
        </w:tc>
        <w:tc>
          <w:tcPr>
            <w:tcW w:w="1276" w:type="dxa"/>
            <w:shd w:val="clear" w:color="auto" w:fill="auto"/>
            <w:vAlign w:val="bottom"/>
          </w:tcPr>
          <w:p w:rsidR="003F0E93" w:rsidRPr="003F0E93" w:rsidRDefault="003F0E93" w:rsidP="003F0E93">
            <w:pPr>
              <w:jc w:val="right"/>
              <w:rPr>
                <w:color w:val="000000"/>
                <w:sz w:val="24"/>
              </w:rPr>
            </w:pPr>
            <w:r w:rsidRPr="003F0E93">
              <w:rPr>
                <w:color w:val="000000"/>
                <w:sz w:val="24"/>
              </w:rPr>
              <w:t>3,331</w:t>
            </w:r>
          </w:p>
        </w:tc>
        <w:tc>
          <w:tcPr>
            <w:tcW w:w="987" w:type="dxa"/>
            <w:vAlign w:val="bottom"/>
          </w:tcPr>
          <w:p w:rsidR="003F0E93" w:rsidRPr="003F0E93" w:rsidRDefault="003F0E93" w:rsidP="003F0E93">
            <w:pPr>
              <w:jc w:val="right"/>
              <w:rPr>
                <w:color w:val="000000"/>
                <w:sz w:val="24"/>
              </w:rPr>
            </w:pPr>
            <w:r w:rsidRPr="003F0E93">
              <w:rPr>
                <w:color w:val="000000"/>
                <w:sz w:val="24"/>
              </w:rPr>
              <w:t>1,792</w:t>
            </w:r>
          </w:p>
        </w:tc>
        <w:tc>
          <w:tcPr>
            <w:tcW w:w="992" w:type="dxa"/>
            <w:vAlign w:val="bottom"/>
          </w:tcPr>
          <w:p w:rsidR="003F0E93" w:rsidRPr="003F0E93" w:rsidRDefault="003F0E93" w:rsidP="003F0E93">
            <w:pPr>
              <w:jc w:val="right"/>
              <w:rPr>
                <w:color w:val="000000"/>
                <w:sz w:val="24"/>
              </w:rPr>
            </w:pPr>
            <w:r w:rsidRPr="003F0E93">
              <w:rPr>
                <w:color w:val="000000"/>
                <w:sz w:val="24"/>
              </w:rPr>
              <w:t>1,537</w:t>
            </w:r>
          </w:p>
        </w:tc>
        <w:tc>
          <w:tcPr>
            <w:tcW w:w="1134" w:type="dxa"/>
            <w:vAlign w:val="bottom"/>
          </w:tcPr>
          <w:p w:rsidR="003F0E93" w:rsidRPr="003F0E93" w:rsidRDefault="003F0E93" w:rsidP="003F0E93">
            <w:pPr>
              <w:jc w:val="right"/>
              <w:rPr>
                <w:color w:val="000000"/>
                <w:sz w:val="24"/>
              </w:rPr>
            </w:pPr>
            <w:r w:rsidRPr="003F0E93">
              <w:rPr>
                <w:color w:val="000000"/>
                <w:sz w:val="24"/>
              </w:rPr>
              <w:t>679</w:t>
            </w:r>
          </w:p>
        </w:tc>
        <w:tc>
          <w:tcPr>
            <w:tcW w:w="1276" w:type="dxa"/>
            <w:vAlign w:val="bottom"/>
          </w:tcPr>
          <w:p w:rsidR="003F0E93" w:rsidRPr="003F0E93" w:rsidRDefault="003F0E93" w:rsidP="003F0E93">
            <w:pPr>
              <w:jc w:val="right"/>
              <w:rPr>
                <w:color w:val="000000"/>
                <w:sz w:val="24"/>
              </w:rPr>
            </w:pPr>
            <w:r w:rsidRPr="003F0E93">
              <w:rPr>
                <w:color w:val="000000"/>
                <w:sz w:val="24"/>
              </w:rPr>
              <w:t>254</w:t>
            </w:r>
          </w:p>
        </w:tc>
        <w:tc>
          <w:tcPr>
            <w:tcW w:w="1134" w:type="dxa"/>
            <w:vAlign w:val="bottom"/>
          </w:tcPr>
          <w:p w:rsidR="003F0E93" w:rsidRPr="003F0E93" w:rsidRDefault="003F0E93" w:rsidP="003F0E93">
            <w:pPr>
              <w:jc w:val="right"/>
              <w:rPr>
                <w:color w:val="000000"/>
                <w:sz w:val="24"/>
              </w:rPr>
            </w:pPr>
            <w:r w:rsidRPr="003F0E93">
              <w:rPr>
                <w:color w:val="000000"/>
                <w:sz w:val="24"/>
              </w:rPr>
              <w:t>70</w:t>
            </w:r>
          </w:p>
        </w:tc>
      </w:tr>
    </w:tbl>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population aged 16 to 74 years within a 2 mile radius is 3,164. 416 people (13%) are employed full-time and 718 are retired (22.7%). 940 people (29.7 %) are unemployed. </w:t>
      </w:r>
    </w:p>
    <w:p w:rsidR="003F0E93" w:rsidRPr="003F0E93" w:rsidRDefault="003F0E93" w:rsidP="003F0E93">
      <w:pPr>
        <w:spacing w:after="0" w:line="240" w:lineRule="auto"/>
        <w:rPr>
          <w:rFonts w:ascii="Arial" w:eastAsia="Times New Roman" w:hAnsi="Arial" w:cs="Times New Roman"/>
          <w:b/>
          <w:sz w:val="24"/>
          <w:szCs w:val="20"/>
          <w:lang w:eastAsia="en-GB"/>
        </w:rPr>
      </w:pPr>
    </w:p>
    <w:tbl>
      <w:tblPr>
        <w:tblStyle w:val="TableGrid1"/>
        <w:tblW w:w="0" w:type="auto"/>
        <w:tblInd w:w="5" w:type="dxa"/>
        <w:tblLook w:val="04A0" w:firstRow="1" w:lastRow="0" w:firstColumn="1" w:lastColumn="0" w:noHBand="0" w:noVBand="1"/>
      </w:tblPr>
      <w:tblGrid>
        <w:gridCol w:w="1284"/>
        <w:gridCol w:w="1764"/>
        <w:gridCol w:w="1764"/>
        <w:gridCol w:w="1764"/>
      </w:tblGrid>
      <w:tr w:rsidR="003F0E93" w:rsidRPr="003F0E93" w:rsidTr="009B57D5">
        <w:tc>
          <w:tcPr>
            <w:tcW w:w="1242"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All usual residents aged 16 to 74</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employee; full-time</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unemployed</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inactive; retired</w:t>
            </w:r>
          </w:p>
        </w:tc>
      </w:tr>
      <w:tr w:rsidR="003F0E93" w:rsidRPr="003F0E93" w:rsidTr="009B57D5">
        <w:tc>
          <w:tcPr>
            <w:tcW w:w="1242"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3,164</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416</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940</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718</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Mosaic analysis: 1,902 households (Mosaic)</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Group 'country living', is dominant (23%) (483 households) for households.</w:t>
      </w: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Described as well-off owners in rural locations enjoying the benefits of country life. The key features are:</w:t>
      </w:r>
    </w:p>
    <w:p w:rsidR="003F0E93" w:rsidRPr="003F0E93" w:rsidRDefault="003F0E93" w:rsidP="003F0E93">
      <w:pPr>
        <w:numPr>
          <w:ilvl w:val="0"/>
          <w:numId w:val="3"/>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Rural locations;</w:t>
      </w:r>
    </w:p>
    <w:p w:rsidR="003F0E93" w:rsidRPr="003F0E93" w:rsidRDefault="003F0E93" w:rsidP="003F0E93">
      <w:pPr>
        <w:numPr>
          <w:ilvl w:val="0"/>
          <w:numId w:val="3"/>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Well-off homeowners;</w:t>
      </w:r>
    </w:p>
    <w:p w:rsidR="003F0E93" w:rsidRPr="003F0E93" w:rsidRDefault="003F0E93" w:rsidP="003F0E93">
      <w:pPr>
        <w:numPr>
          <w:ilvl w:val="0"/>
          <w:numId w:val="3"/>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Attractive detached homes;</w:t>
      </w:r>
    </w:p>
    <w:p w:rsidR="003F0E93" w:rsidRPr="003F0E93" w:rsidRDefault="003F0E93" w:rsidP="003F0E93">
      <w:pPr>
        <w:numPr>
          <w:ilvl w:val="0"/>
          <w:numId w:val="3"/>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Higher self-employment;</w:t>
      </w:r>
    </w:p>
    <w:p w:rsidR="003F0E93" w:rsidRPr="003F0E93" w:rsidRDefault="003F0E93" w:rsidP="003F0E93">
      <w:pPr>
        <w:numPr>
          <w:ilvl w:val="0"/>
          <w:numId w:val="3"/>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High car ownership; and</w:t>
      </w:r>
    </w:p>
    <w:p w:rsidR="003F0E93" w:rsidRPr="003F0E93" w:rsidRDefault="003F0E93" w:rsidP="003F0E93">
      <w:pPr>
        <w:numPr>
          <w:ilvl w:val="0"/>
          <w:numId w:val="3"/>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High use of Internet.</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Second group at 19.1% is 'prestige positions', described as established families in large detached homes living upmarket lifestyles. (363 households). The key features are:</w:t>
      </w:r>
    </w:p>
    <w:p w:rsidR="003F0E93" w:rsidRPr="003F0E93" w:rsidRDefault="003F0E93" w:rsidP="003F0E93">
      <w:pPr>
        <w:numPr>
          <w:ilvl w:val="0"/>
          <w:numId w:val="4"/>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High value detached homes;</w:t>
      </w:r>
    </w:p>
    <w:p w:rsidR="003F0E93" w:rsidRPr="003F0E93" w:rsidRDefault="003F0E93" w:rsidP="003F0E93">
      <w:pPr>
        <w:numPr>
          <w:ilvl w:val="0"/>
          <w:numId w:val="4"/>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Married couples;</w:t>
      </w:r>
    </w:p>
    <w:p w:rsidR="003F0E93" w:rsidRPr="003F0E93" w:rsidRDefault="003F0E93" w:rsidP="003F0E93">
      <w:pPr>
        <w:numPr>
          <w:ilvl w:val="0"/>
          <w:numId w:val="4"/>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Managerial and senior positions;</w:t>
      </w:r>
    </w:p>
    <w:p w:rsidR="003F0E93" w:rsidRPr="003F0E93" w:rsidRDefault="003F0E93" w:rsidP="003F0E93">
      <w:pPr>
        <w:numPr>
          <w:ilvl w:val="0"/>
          <w:numId w:val="4"/>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Supporting students and older children;</w:t>
      </w:r>
    </w:p>
    <w:p w:rsidR="003F0E93" w:rsidRPr="003F0E93" w:rsidRDefault="003F0E93" w:rsidP="003F0E93">
      <w:pPr>
        <w:numPr>
          <w:ilvl w:val="0"/>
          <w:numId w:val="4"/>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High assets and investments; and</w:t>
      </w:r>
    </w:p>
    <w:p w:rsidR="003F0E93" w:rsidRPr="003F0E93" w:rsidRDefault="003F0E93" w:rsidP="003F0E93">
      <w:pPr>
        <w:numPr>
          <w:ilvl w:val="0"/>
          <w:numId w:val="4"/>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Online shopping and banking.</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5 mile radius</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population within a 5 mile radius is 196,510. A little more than half of them are women. The population density of the area is 55 people per hectare. There are 42,917 people aged 0-19 years old within a 2 mile radius. They make up 22% of the area </w:t>
      </w:r>
      <w:r w:rsidRPr="003F0E93">
        <w:rPr>
          <w:rFonts w:ascii="Arial" w:eastAsia="Times New Roman" w:hAnsi="Arial" w:cs="Times New Roman"/>
          <w:sz w:val="24"/>
          <w:szCs w:val="20"/>
          <w:lang w:eastAsia="en-GB"/>
        </w:rPr>
        <w:lastRenderedPageBreak/>
        <w:t>population. There are 112,814 people aged 20 to 64 years (57.7% of the population). 40,779 people are aged 65 and over (20.9% of the population).</w:t>
      </w:r>
    </w:p>
    <w:p w:rsidR="003F0E93" w:rsidRPr="003F0E93" w:rsidRDefault="003F0E93" w:rsidP="003F0E93">
      <w:pPr>
        <w:spacing w:after="0" w:line="240" w:lineRule="auto"/>
        <w:rPr>
          <w:rFonts w:ascii="Arial" w:eastAsia="Times New Roman" w:hAnsi="Arial" w:cs="Times New Roman"/>
          <w:b/>
          <w:sz w:val="24"/>
          <w:szCs w:val="20"/>
          <w:lang w:eastAsia="en-GB"/>
        </w:rPr>
      </w:pPr>
    </w:p>
    <w:tbl>
      <w:tblPr>
        <w:tblStyle w:val="TableGrid"/>
        <w:tblW w:w="9112" w:type="dxa"/>
        <w:tblInd w:w="-45" w:type="dxa"/>
        <w:tblLook w:val="04A0" w:firstRow="1" w:lastRow="0" w:firstColumn="1" w:lastColumn="0" w:noHBand="0" w:noVBand="1"/>
      </w:tblPr>
      <w:tblGrid>
        <w:gridCol w:w="1443"/>
        <w:gridCol w:w="951"/>
        <w:gridCol w:w="1177"/>
        <w:gridCol w:w="1364"/>
        <w:gridCol w:w="1456"/>
        <w:gridCol w:w="951"/>
        <w:gridCol w:w="1084"/>
        <w:gridCol w:w="951"/>
      </w:tblGrid>
      <w:tr w:rsidR="003F0E93" w:rsidRPr="003F0E93" w:rsidTr="009B57D5">
        <w:tc>
          <w:tcPr>
            <w:tcW w:w="1276"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Total population</w:t>
            </w:r>
          </w:p>
        </w:tc>
        <w:tc>
          <w:tcPr>
            <w:tcW w:w="856"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Males</w:t>
            </w:r>
          </w:p>
        </w:tc>
        <w:tc>
          <w:tcPr>
            <w:tcW w:w="997"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Females</w:t>
            </w:r>
          </w:p>
        </w:tc>
        <w:tc>
          <w:tcPr>
            <w:tcW w:w="1139"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Area (hectares)</w:t>
            </w:r>
          </w:p>
        </w:tc>
        <w:tc>
          <w:tcPr>
            <w:tcW w:w="1422"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Population density</w:t>
            </w:r>
          </w:p>
        </w:tc>
        <w:tc>
          <w:tcPr>
            <w:tcW w:w="1144"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0 - 19</w:t>
            </w:r>
          </w:p>
        </w:tc>
        <w:tc>
          <w:tcPr>
            <w:tcW w:w="1139"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20 - 64</w:t>
            </w:r>
          </w:p>
        </w:tc>
        <w:tc>
          <w:tcPr>
            <w:tcW w:w="1139" w:type="dxa"/>
          </w:tcPr>
          <w:p w:rsidR="003F0E93" w:rsidRPr="003F0E93" w:rsidRDefault="003F0E93" w:rsidP="003F0E93">
            <w:pPr>
              <w:jc w:val="center"/>
              <w:rPr>
                <w:rFonts w:ascii="Arial" w:hAnsi="Arial" w:cs="Arial"/>
                <w:b/>
                <w:sz w:val="24"/>
                <w:szCs w:val="24"/>
              </w:rPr>
            </w:pPr>
            <w:r w:rsidRPr="003F0E93">
              <w:rPr>
                <w:rFonts w:ascii="Arial" w:hAnsi="Arial" w:cs="Arial"/>
                <w:b/>
                <w:sz w:val="24"/>
                <w:szCs w:val="24"/>
              </w:rPr>
              <w:t>65 and over</w:t>
            </w:r>
          </w:p>
        </w:tc>
      </w:tr>
      <w:tr w:rsidR="003F0E93" w:rsidRPr="003F0E93" w:rsidTr="009B57D5">
        <w:tc>
          <w:tcPr>
            <w:tcW w:w="1276"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196,510</w:t>
            </w:r>
          </w:p>
        </w:tc>
        <w:tc>
          <w:tcPr>
            <w:tcW w:w="856"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96,086</w:t>
            </w:r>
          </w:p>
        </w:tc>
        <w:tc>
          <w:tcPr>
            <w:tcW w:w="997"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100,424</w:t>
            </w:r>
          </w:p>
        </w:tc>
        <w:tc>
          <w:tcPr>
            <w:tcW w:w="1139"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18,201</w:t>
            </w:r>
          </w:p>
        </w:tc>
        <w:tc>
          <w:tcPr>
            <w:tcW w:w="1422"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55.27</w:t>
            </w:r>
          </w:p>
        </w:tc>
        <w:tc>
          <w:tcPr>
            <w:tcW w:w="1144" w:type="dxa"/>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42,917</w:t>
            </w:r>
          </w:p>
        </w:tc>
        <w:tc>
          <w:tcPr>
            <w:tcW w:w="1139" w:type="dxa"/>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112,814</w:t>
            </w:r>
          </w:p>
        </w:tc>
        <w:tc>
          <w:tcPr>
            <w:tcW w:w="1139" w:type="dxa"/>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40,779</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Most of the population (149,960 people, 76.3%) did not have long-term conditions or health problems that limited their day-to-day activities. 23,521 people (12%) had day-to-day activities limited a lot and a further 23,029 (11.7%) people had them limited a little. Most of the population (149,187 people, 76%) had very good or good health. 15,719 people (8%) had very bad or bad health.</w:t>
      </w:r>
    </w:p>
    <w:p w:rsidR="003F0E93" w:rsidRPr="003F0E93" w:rsidRDefault="003F0E93" w:rsidP="003F0E93">
      <w:pPr>
        <w:spacing w:after="0" w:line="240" w:lineRule="auto"/>
        <w:rPr>
          <w:rFonts w:ascii="Arial" w:eastAsia="Times New Roman" w:hAnsi="Arial" w:cs="Times New Roman"/>
          <w:b/>
          <w:sz w:val="24"/>
          <w:szCs w:val="20"/>
          <w:lang w:eastAsia="en-GB"/>
        </w:rPr>
      </w:pPr>
    </w:p>
    <w:tbl>
      <w:tblPr>
        <w:tblStyle w:val="TableGrid"/>
        <w:tblW w:w="9209" w:type="dxa"/>
        <w:tblLook w:val="04A0" w:firstRow="1" w:lastRow="0" w:firstColumn="1" w:lastColumn="0" w:noHBand="0" w:noVBand="1"/>
      </w:tblPr>
      <w:tblGrid>
        <w:gridCol w:w="1271"/>
        <w:gridCol w:w="1276"/>
        <w:gridCol w:w="1417"/>
        <w:gridCol w:w="1134"/>
        <w:gridCol w:w="993"/>
        <w:gridCol w:w="992"/>
        <w:gridCol w:w="992"/>
        <w:gridCol w:w="1134"/>
      </w:tblGrid>
      <w:tr w:rsidR="003F0E93" w:rsidRPr="003F0E93" w:rsidTr="009B57D5">
        <w:tc>
          <w:tcPr>
            <w:tcW w:w="1271" w:type="dxa"/>
          </w:tcPr>
          <w:p w:rsidR="003F0E93" w:rsidRPr="003F0E93" w:rsidRDefault="003F0E93" w:rsidP="003F0E93">
            <w:pPr>
              <w:jc w:val="center"/>
              <w:rPr>
                <w:rFonts w:ascii="Arial" w:hAnsi="Arial" w:cs="Arial"/>
                <w:b/>
                <w:sz w:val="24"/>
              </w:rPr>
            </w:pPr>
            <w:r w:rsidRPr="003F0E93">
              <w:rPr>
                <w:rFonts w:ascii="Arial" w:hAnsi="Arial" w:cs="Arial"/>
                <w:b/>
                <w:sz w:val="24"/>
              </w:rPr>
              <w:t>Day to day activities limited a lot</w:t>
            </w:r>
          </w:p>
        </w:tc>
        <w:tc>
          <w:tcPr>
            <w:tcW w:w="1276" w:type="dxa"/>
          </w:tcPr>
          <w:p w:rsidR="003F0E93" w:rsidRPr="003F0E93" w:rsidRDefault="003F0E93" w:rsidP="003F0E93">
            <w:pPr>
              <w:jc w:val="center"/>
              <w:rPr>
                <w:rFonts w:ascii="Arial" w:hAnsi="Arial" w:cs="Arial"/>
                <w:b/>
                <w:sz w:val="24"/>
              </w:rPr>
            </w:pPr>
            <w:r w:rsidRPr="003F0E93">
              <w:rPr>
                <w:rFonts w:ascii="Arial" w:hAnsi="Arial" w:cs="Arial"/>
                <w:b/>
                <w:sz w:val="24"/>
              </w:rPr>
              <w:t>Day to day activities limited a little</w:t>
            </w:r>
          </w:p>
        </w:tc>
        <w:tc>
          <w:tcPr>
            <w:tcW w:w="1417" w:type="dxa"/>
          </w:tcPr>
          <w:p w:rsidR="003F0E93" w:rsidRPr="003F0E93" w:rsidRDefault="003F0E93" w:rsidP="003F0E93">
            <w:pPr>
              <w:jc w:val="center"/>
              <w:rPr>
                <w:rFonts w:ascii="Arial" w:hAnsi="Arial" w:cs="Arial"/>
                <w:b/>
                <w:sz w:val="24"/>
              </w:rPr>
            </w:pPr>
            <w:r w:rsidRPr="003F0E93">
              <w:rPr>
                <w:rFonts w:ascii="Arial" w:hAnsi="Arial" w:cs="Arial"/>
                <w:b/>
                <w:sz w:val="24"/>
              </w:rPr>
              <w:t>Day to day activities not limited</w:t>
            </w:r>
          </w:p>
        </w:tc>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Health – very good</w:t>
            </w:r>
          </w:p>
        </w:tc>
        <w:tc>
          <w:tcPr>
            <w:tcW w:w="993" w:type="dxa"/>
          </w:tcPr>
          <w:p w:rsidR="003F0E93" w:rsidRPr="003F0E93" w:rsidRDefault="003F0E93" w:rsidP="003F0E93">
            <w:pPr>
              <w:jc w:val="center"/>
              <w:rPr>
                <w:rFonts w:ascii="Arial" w:hAnsi="Arial" w:cs="Arial"/>
                <w:b/>
                <w:sz w:val="24"/>
              </w:rPr>
            </w:pPr>
            <w:r w:rsidRPr="003F0E93">
              <w:rPr>
                <w:rFonts w:ascii="Arial" w:hAnsi="Arial" w:cs="Arial"/>
                <w:b/>
                <w:sz w:val="24"/>
              </w:rPr>
              <w:t>Health – good</w:t>
            </w:r>
          </w:p>
        </w:tc>
        <w:tc>
          <w:tcPr>
            <w:tcW w:w="992" w:type="dxa"/>
          </w:tcPr>
          <w:p w:rsidR="003F0E93" w:rsidRPr="003F0E93" w:rsidRDefault="003F0E93" w:rsidP="003F0E93">
            <w:pPr>
              <w:jc w:val="center"/>
              <w:rPr>
                <w:rFonts w:ascii="Arial" w:hAnsi="Arial" w:cs="Arial"/>
                <w:b/>
                <w:sz w:val="24"/>
              </w:rPr>
            </w:pPr>
            <w:r w:rsidRPr="003F0E93">
              <w:rPr>
                <w:rFonts w:ascii="Arial" w:hAnsi="Arial" w:cs="Arial"/>
                <w:b/>
                <w:sz w:val="24"/>
              </w:rPr>
              <w:t>Health – fair</w:t>
            </w:r>
          </w:p>
        </w:tc>
        <w:tc>
          <w:tcPr>
            <w:tcW w:w="992" w:type="dxa"/>
          </w:tcPr>
          <w:p w:rsidR="003F0E93" w:rsidRPr="003F0E93" w:rsidRDefault="003F0E93" w:rsidP="003F0E93">
            <w:pPr>
              <w:jc w:val="center"/>
              <w:rPr>
                <w:rFonts w:ascii="Arial" w:hAnsi="Arial" w:cs="Arial"/>
                <w:b/>
                <w:sz w:val="24"/>
              </w:rPr>
            </w:pPr>
            <w:r w:rsidRPr="003F0E93">
              <w:rPr>
                <w:rFonts w:ascii="Arial" w:hAnsi="Arial" w:cs="Arial"/>
                <w:b/>
                <w:sz w:val="24"/>
              </w:rPr>
              <w:t xml:space="preserve">Heath – bad </w:t>
            </w:r>
          </w:p>
        </w:tc>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 xml:space="preserve">Health – very bad </w:t>
            </w:r>
          </w:p>
        </w:tc>
      </w:tr>
      <w:tr w:rsidR="003F0E93" w:rsidRPr="003F0E93" w:rsidTr="009B57D5">
        <w:tc>
          <w:tcPr>
            <w:tcW w:w="1271"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23,521</w:t>
            </w:r>
          </w:p>
        </w:tc>
        <w:tc>
          <w:tcPr>
            <w:tcW w:w="127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23,029</w:t>
            </w:r>
          </w:p>
        </w:tc>
        <w:tc>
          <w:tcPr>
            <w:tcW w:w="1417"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149,960</w:t>
            </w:r>
          </w:p>
        </w:tc>
        <w:tc>
          <w:tcPr>
            <w:tcW w:w="1134"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82,769</w:t>
            </w:r>
          </w:p>
        </w:tc>
        <w:tc>
          <w:tcPr>
            <w:tcW w:w="993"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66,418</w:t>
            </w:r>
          </w:p>
        </w:tc>
        <w:tc>
          <w:tcPr>
            <w:tcW w:w="992"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31,604</w:t>
            </w:r>
          </w:p>
        </w:tc>
        <w:tc>
          <w:tcPr>
            <w:tcW w:w="992"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12,157</w:t>
            </w:r>
          </w:p>
        </w:tc>
        <w:tc>
          <w:tcPr>
            <w:tcW w:w="1134"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3,562</w:t>
            </w:r>
          </w:p>
        </w:tc>
      </w:tr>
    </w:tbl>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The population aged 16 to 74 within a 5 mile radius is 143,128. 20,040 people (14%) are employed full-time and 25,237 are retired (17.6%). 7,106 people (5%) are unemployed.</w:t>
      </w:r>
    </w:p>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1"/>
        <w:tblW w:w="0" w:type="auto"/>
        <w:tblInd w:w="5" w:type="dxa"/>
        <w:tblLook w:val="04A0" w:firstRow="1" w:lastRow="0" w:firstColumn="1" w:lastColumn="0" w:noHBand="0" w:noVBand="1"/>
      </w:tblPr>
      <w:tblGrid>
        <w:gridCol w:w="1284"/>
        <w:gridCol w:w="1764"/>
        <w:gridCol w:w="1764"/>
        <w:gridCol w:w="1764"/>
      </w:tblGrid>
      <w:tr w:rsidR="003F0E93" w:rsidRPr="003F0E93" w:rsidTr="009B57D5">
        <w:tc>
          <w:tcPr>
            <w:tcW w:w="1242" w:type="dxa"/>
            <w:shd w:val="clear" w:color="auto" w:fill="auto"/>
            <w:vAlign w:val="bottom"/>
          </w:tcPr>
          <w:p w:rsidR="003F0E93" w:rsidRPr="003F0E93" w:rsidRDefault="003F0E93" w:rsidP="003F0E93">
            <w:pPr>
              <w:rPr>
                <w:rFonts w:ascii="Arial" w:hAnsi="Arial" w:cs="Arial"/>
                <w:b/>
                <w:color w:val="000000"/>
                <w:sz w:val="24"/>
                <w:szCs w:val="24"/>
              </w:rPr>
            </w:pPr>
            <w:r w:rsidRPr="003F0E93">
              <w:rPr>
                <w:rFonts w:ascii="Arial" w:hAnsi="Arial" w:cs="Arial"/>
                <w:b/>
                <w:color w:val="000000"/>
                <w:sz w:val="24"/>
                <w:szCs w:val="24"/>
              </w:rPr>
              <w:t>All Usual residents aged 16 to 74</w:t>
            </w:r>
          </w:p>
        </w:tc>
        <w:tc>
          <w:tcPr>
            <w:tcW w:w="1416" w:type="dxa"/>
            <w:shd w:val="clear" w:color="auto" w:fill="auto"/>
            <w:vAlign w:val="bottom"/>
          </w:tcPr>
          <w:p w:rsidR="003F0E93" w:rsidRPr="003F0E93" w:rsidRDefault="003F0E93" w:rsidP="003F0E93">
            <w:pPr>
              <w:rPr>
                <w:rFonts w:ascii="Arial" w:hAnsi="Arial" w:cs="Arial"/>
                <w:b/>
                <w:color w:val="000000"/>
                <w:sz w:val="24"/>
                <w:szCs w:val="24"/>
              </w:rPr>
            </w:pPr>
            <w:r w:rsidRPr="003F0E93">
              <w:rPr>
                <w:rFonts w:ascii="Arial" w:hAnsi="Arial" w:cs="Arial"/>
                <w:b/>
                <w:color w:val="000000"/>
                <w:sz w:val="24"/>
                <w:szCs w:val="24"/>
              </w:rPr>
              <w:t>Economically active; employee; full-time</w:t>
            </w:r>
          </w:p>
        </w:tc>
        <w:tc>
          <w:tcPr>
            <w:tcW w:w="1416" w:type="dxa"/>
            <w:shd w:val="clear" w:color="auto" w:fill="auto"/>
            <w:vAlign w:val="bottom"/>
          </w:tcPr>
          <w:p w:rsidR="003F0E93" w:rsidRPr="003F0E93" w:rsidRDefault="003F0E93" w:rsidP="003F0E93">
            <w:pPr>
              <w:rPr>
                <w:rFonts w:ascii="Arial" w:hAnsi="Arial" w:cs="Arial"/>
                <w:b/>
                <w:color w:val="000000"/>
                <w:sz w:val="24"/>
                <w:szCs w:val="24"/>
              </w:rPr>
            </w:pPr>
            <w:r w:rsidRPr="003F0E93">
              <w:rPr>
                <w:rFonts w:ascii="Arial" w:hAnsi="Arial" w:cs="Arial"/>
                <w:b/>
                <w:color w:val="000000"/>
                <w:sz w:val="24"/>
                <w:szCs w:val="24"/>
              </w:rPr>
              <w:t>Economically active; unemployed</w:t>
            </w:r>
          </w:p>
        </w:tc>
        <w:tc>
          <w:tcPr>
            <w:tcW w:w="1416" w:type="dxa"/>
            <w:shd w:val="clear" w:color="auto" w:fill="auto"/>
            <w:vAlign w:val="bottom"/>
          </w:tcPr>
          <w:p w:rsidR="003F0E93" w:rsidRPr="003F0E93" w:rsidRDefault="003F0E93" w:rsidP="003F0E93">
            <w:pPr>
              <w:rPr>
                <w:rFonts w:ascii="Arial" w:hAnsi="Arial" w:cs="Arial"/>
                <w:b/>
                <w:color w:val="000000"/>
                <w:sz w:val="24"/>
                <w:szCs w:val="24"/>
              </w:rPr>
            </w:pPr>
            <w:r w:rsidRPr="003F0E93">
              <w:rPr>
                <w:rFonts w:ascii="Arial" w:hAnsi="Arial" w:cs="Arial"/>
                <w:b/>
                <w:color w:val="000000"/>
                <w:sz w:val="24"/>
                <w:szCs w:val="24"/>
              </w:rPr>
              <w:t>Economically inactive; retired</w:t>
            </w:r>
          </w:p>
        </w:tc>
      </w:tr>
      <w:tr w:rsidR="003F0E93" w:rsidRPr="003F0E93" w:rsidTr="009B57D5">
        <w:tc>
          <w:tcPr>
            <w:tcW w:w="1242"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143,128</w:t>
            </w:r>
          </w:p>
        </w:tc>
        <w:tc>
          <w:tcPr>
            <w:tcW w:w="1416"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20,040</w:t>
            </w:r>
          </w:p>
        </w:tc>
        <w:tc>
          <w:tcPr>
            <w:tcW w:w="1416"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7,106</w:t>
            </w:r>
          </w:p>
        </w:tc>
        <w:tc>
          <w:tcPr>
            <w:tcW w:w="1416" w:type="dxa"/>
            <w:shd w:val="clear" w:color="auto" w:fill="auto"/>
            <w:vAlign w:val="bottom"/>
          </w:tcPr>
          <w:p w:rsidR="003F0E93" w:rsidRPr="003F0E93" w:rsidRDefault="003F0E93" w:rsidP="003F0E93">
            <w:pPr>
              <w:jc w:val="right"/>
              <w:rPr>
                <w:rFonts w:ascii="Arial" w:hAnsi="Arial" w:cs="Arial"/>
                <w:color w:val="000000"/>
                <w:sz w:val="24"/>
                <w:szCs w:val="24"/>
              </w:rPr>
            </w:pPr>
            <w:r w:rsidRPr="003F0E93">
              <w:rPr>
                <w:rFonts w:ascii="Arial" w:hAnsi="Arial" w:cs="Arial"/>
                <w:color w:val="000000"/>
                <w:sz w:val="24"/>
                <w:szCs w:val="24"/>
              </w:rPr>
              <w:t>25,237</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Mosaic analysis: 92,274 households (Mosaic)</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Group 'transient renters' is dominant (15.4%) (14,245 households) for households within a 5 mile radius. Described as single people privately renting low cost homes for the short term. The key features are:</w:t>
      </w:r>
    </w:p>
    <w:p w:rsidR="003F0E93" w:rsidRPr="003F0E93" w:rsidRDefault="003F0E93" w:rsidP="003F0E93">
      <w:pPr>
        <w:numPr>
          <w:ilvl w:val="0"/>
          <w:numId w:val="5"/>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Private renters;</w:t>
      </w:r>
    </w:p>
    <w:p w:rsidR="003F0E93" w:rsidRPr="003F0E93" w:rsidRDefault="003F0E93" w:rsidP="003F0E93">
      <w:pPr>
        <w:numPr>
          <w:ilvl w:val="0"/>
          <w:numId w:val="5"/>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Low length of residence;</w:t>
      </w:r>
    </w:p>
    <w:p w:rsidR="003F0E93" w:rsidRPr="003F0E93" w:rsidRDefault="003F0E93" w:rsidP="003F0E93">
      <w:pPr>
        <w:numPr>
          <w:ilvl w:val="0"/>
          <w:numId w:val="5"/>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Low cost housing;</w:t>
      </w:r>
    </w:p>
    <w:p w:rsidR="003F0E93" w:rsidRPr="003F0E93" w:rsidRDefault="003F0E93" w:rsidP="003F0E93">
      <w:pPr>
        <w:numPr>
          <w:ilvl w:val="0"/>
          <w:numId w:val="5"/>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Singles and sharers;</w:t>
      </w:r>
    </w:p>
    <w:p w:rsidR="003F0E93" w:rsidRPr="003F0E93" w:rsidRDefault="003F0E93" w:rsidP="003F0E93">
      <w:pPr>
        <w:numPr>
          <w:ilvl w:val="0"/>
          <w:numId w:val="5"/>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Older terraces; and</w:t>
      </w:r>
    </w:p>
    <w:p w:rsidR="003F0E93" w:rsidRPr="003F0E93" w:rsidRDefault="003F0E93" w:rsidP="003F0E93">
      <w:pPr>
        <w:numPr>
          <w:ilvl w:val="0"/>
          <w:numId w:val="5"/>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Few landline telephones.</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The second largest group is senior security, described as elderly people with assets who are enjoying a comfortable retirement, 12.9% (11,871 households). These groups are residents of Blackpool, parts of which are covered by this large radius. The key features are:</w:t>
      </w:r>
    </w:p>
    <w:p w:rsidR="003F0E93" w:rsidRPr="003F0E93" w:rsidRDefault="003F0E93" w:rsidP="003F0E93">
      <w:pPr>
        <w:numPr>
          <w:ilvl w:val="0"/>
          <w:numId w:val="6"/>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Elderly singles and couples;</w:t>
      </w:r>
    </w:p>
    <w:p w:rsidR="003F0E93" w:rsidRPr="003F0E93" w:rsidRDefault="003F0E93" w:rsidP="003F0E93">
      <w:pPr>
        <w:numPr>
          <w:ilvl w:val="0"/>
          <w:numId w:val="6"/>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Homeowners;</w:t>
      </w:r>
    </w:p>
    <w:p w:rsidR="003F0E93" w:rsidRPr="003F0E93" w:rsidRDefault="003F0E93" w:rsidP="003F0E93">
      <w:pPr>
        <w:numPr>
          <w:ilvl w:val="0"/>
          <w:numId w:val="6"/>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lastRenderedPageBreak/>
        <w:t>Comfortable homes;</w:t>
      </w:r>
    </w:p>
    <w:p w:rsidR="003F0E93" w:rsidRPr="003F0E93" w:rsidRDefault="003F0E93" w:rsidP="003F0E93">
      <w:pPr>
        <w:numPr>
          <w:ilvl w:val="0"/>
          <w:numId w:val="6"/>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Additional pensions above state;</w:t>
      </w:r>
    </w:p>
    <w:p w:rsidR="003F0E93" w:rsidRPr="003F0E93" w:rsidRDefault="003F0E93" w:rsidP="003F0E93">
      <w:pPr>
        <w:numPr>
          <w:ilvl w:val="0"/>
          <w:numId w:val="6"/>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Don't like new technology; and</w:t>
      </w:r>
    </w:p>
    <w:p w:rsidR="003F0E93" w:rsidRPr="003F0E93" w:rsidRDefault="003F0E93" w:rsidP="003F0E93">
      <w:pPr>
        <w:numPr>
          <w:ilvl w:val="0"/>
          <w:numId w:val="6"/>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Low mileage drivers.</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Index of Multiple Deprivation 2010</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center"/>
        <w:rPr>
          <w:rFonts w:ascii="Arial" w:eastAsia="Times New Roman" w:hAnsi="Arial" w:cs="Times New Roman"/>
          <w:sz w:val="24"/>
          <w:szCs w:val="20"/>
          <w:lang w:eastAsia="en-GB"/>
        </w:rPr>
      </w:pPr>
      <w:r w:rsidRPr="003F0E93">
        <w:rPr>
          <w:rFonts w:ascii="Arial" w:eastAsia="Times New Roman" w:hAnsi="Arial" w:cs="Times New Roman"/>
          <w:noProof/>
          <w:sz w:val="24"/>
          <w:szCs w:val="20"/>
          <w:lang w:eastAsia="en-GB"/>
        </w:rPr>
        <w:drawing>
          <wp:inline distT="0" distB="0" distL="0" distR="0" wp14:anchorId="70E8992C" wp14:editId="26491FC7">
            <wp:extent cx="4038600" cy="36041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pton Hall Farm deprivation.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2293" cy="3625311"/>
                    </a:xfrm>
                    <a:prstGeom prst="rect">
                      <a:avLst/>
                    </a:prstGeom>
                  </pic:spPr>
                </pic:pic>
              </a:graphicData>
            </a:graphic>
          </wp:inline>
        </w:drawing>
      </w:r>
    </w:p>
    <w:p w:rsidR="003F0E93" w:rsidRPr="003F0E93" w:rsidRDefault="003F0E93" w:rsidP="003F0E93">
      <w:pPr>
        <w:spacing w:after="0" w:line="240" w:lineRule="auto"/>
        <w:jc w:val="both"/>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proposed Plumpton Hall Farm site is in an LSOA that is in the least deprived 50% of all LSOAs in England. Similarly, the vast majority of surrounding area within a 2 mile radius is not deprived. To the west, the area covers most of an LSOA in Blackpool that is in the 10% most deprived in England.  </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5 mile radius area is very varied in terms of deprivation. Generally speaking it splits east to west. To the east, the LSOAs are mostly in the 50% least deprived in England. To the west, they are generally in the least deprived 50% of areas in England (with some exception in the </w:t>
      </w:r>
      <w:proofErr w:type="gramStart"/>
      <w:r w:rsidRPr="003F0E93">
        <w:rPr>
          <w:rFonts w:ascii="Arial" w:eastAsia="Times New Roman" w:hAnsi="Arial" w:cs="Times New Roman"/>
          <w:sz w:val="24"/>
          <w:szCs w:val="20"/>
          <w:lang w:eastAsia="en-GB"/>
        </w:rPr>
        <w:t>north west</w:t>
      </w:r>
      <w:proofErr w:type="gramEnd"/>
      <w:r w:rsidRPr="003F0E93">
        <w:rPr>
          <w:rFonts w:ascii="Arial" w:eastAsia="Times New Roman" w:hAnsi="Arial" w:cs="Times New Roman"/>
          <w:sz w:val="24"/>
          <w:szCs w:val="20"/>
          <w:lang w:eastAsia="en-GB"/>
        </w:rPr>
        <w:t xml:space="preserve"> and south west). Many of the areas in the west are in the 10% most deprived in England.   </w:t>
      </w:r>
    </w:p>
    <w:p w:rsidR="003F0E93" w:rsidRPr="003F0E93" w:rsidRDefault="003F0E93" w:rsidP="003F0E93">
      <w:pPr>
        <w:spacing w:after="0" w:line="240" w:lineRule="auto"/>
        <w:rPr>
          <w:rFonts w:ascii="Arial" w:eastAsia="Times New Roman" w:hAnsi="Arial" w:cs="Times New Roman"/>
          <w:b/>
          <w:sz w:val="28"/>
          <w:szCs w:val="28"/>
          <w:lang w:eastAsia="en-GB"/>
        </w:rPr>
      </w:pPr>
    </w:p>
    <w:p w:rsidR="003F0E93" w:rsidRPr="003F0E93" w:rsidRDefault="003F0E93" w:rsidP="003F0E93">
      <w:pPr>
        <w:spacing w:after="0" w:line="240" w:lineRule="auto"/>
        <w:rPr>
          <w:rFonts w:ascii="Arial" w:eastAsia="Times New Roman" w:hAnsi="Arial" w:cs="Times New Roman"/>
          <w:b/>
          <w:sz w:val="24"/>
          <w:szCs w:val="24"/>
          <w:lang w:eastAsia="en-GB"/>
        </w:rPr>
      </w:pPr>
      <w:proofErr w:type="spellStart"/>
      <w:r w:rsidRPr="003F0E93">
        <w:rPr>
          <w:rFonts w:ascii="Arial" w:eastAsia="Times New Roman" w:hAnsi="Arial" w:cs="Times New Roman"/>
          <w:b/>
          <w:sz w:val="24"/>
          <w:szCs w:val="24"/>
          <w:lang w:eastAsia="en-GB"/>
        </w:rPr>
        <w:t>ProposedSite</w:t>
      </w:r>
      <w:proofErr w:type="spellEnd"/>
      <w:r w:rsidRPr="003F0E93">
        <w:rPr>
          <w:rFonts w:ascii="Arial" w:eastAsia="Times New Roman" w:hAnsi="Arial" w:cs="Times New Roman"/>
          <w:b/>
          <w:sz w:val="24"/>
          <w:szCs w:val="24"/>
          <w:lang w:eastAsia="en-GB"/>
        </w:rPr>
        <w:t>: Roseacre Wood</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2 mile radius</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The population within a 2 mile radius is 2,522.The gender split is almost equal. The population density of the area is 4.4 people per hectare. There are 539 people aged 0-19 years old within a 2 mile radius. They make up 21.4% of the area population. There are 1,501 people aged 20 to 64 years (59.5% of the population). 482 people are aged 65 and over (19.1% of the population).</w:t>
      </w:r>
    </w:p>
    <w:p w:rsidR="003F0E93" w:rsidRPr="003F0E93" w:rsidRDefault="003F0E93" w:rsidP="003F0E93">
      <w:pPr>
        <w:spacing w:after="0" w:line="240" w:lineRule="auto"/>
        <w:rPr>
          <w:rFonts w:ascii="Arial" w:eastAsia="Times New Roman" w:hAnsi="Arial" w:cs="Times New Roman"/>
          <w:b/>
          <w:sz w:val="24"/>
          <w:szCs w:val="20"/>
          <w:lang w:eastAsia="en-GB"/>
        </w:rPr>
      </w:pPr>
    </w:p>
    <w:tbl>
      <w:tblPr>
        <w:tblStyle w:val="TableGrid"/>
        <w:tblW w:w="9396" w:type="dxa"/>
        <w:tblInd w:w="-45" w:type="dxa"/>
        <w:tblLayout w:type="fixed"/>
        <w:tblLook w:val="04A0" w:firstRow="1" w:lastRow="0" w:firstColumn="1" w:lastColumn="0" w:noHBand="0" w:noVBand="1"/>
      </w:tblPr>
      <w:tblGrid>
        <w:gridCol w:w="1418"/>
        <w:gridCol w:w="992"/>
        <w:gridCol w:w="997"/>
        <w:gridCol w:w="1144"/>
        <w:gridCol w:w="1423"/>
        <w:gridCol w:w="1002"/>
        <w:gridCol w:w="1281"/>
        <w:gridCol w:w="1139"/>
      </w:tblGrid>
      <w:tr w:rsidR="003F0E93" w:rsidRPr="003F0E93" w:rsidTr="009B57D5">
        <w:tc>
          <w:tcPr>
            <w:tcW w:w="1418" w:type="dxa"/>
          </w:tcPr>
          <w:p w:rsidR="003F0E93" w:rsidRPr="003F0E93" w:rsidRDefault="003F0E93" w:rsidP="003F0E93">
            <w:pPr>
              <w:jc w:val="center"/>
              <w:rPr>
                <w:rFonts w:ascii="Arial" w:hAnsi="Arial" w:cs="Arial"/>
                <w:b/>
                <w:sz w:val="24"/>
              </w:rPr>
            </w:pPr>
            <w:r w:rsidRPr="003F0E93">
              <w:rPr>
                <w:rFonts w:ascii="Arial" w:hAnsi="Arial" w:cs="Arial"/>
                <w:b/>
                <w:sz w:val="24"/>
              </w:rPr>
              <w:t>Total population</w:t>
            </w:r>
          </w:p>
        </w:tc>
        <w:tc>
          <w:tcPr>
            <w:tcW w:w="992" w:type="dxa"/>
          </w:tcPr>
          <w:p w:rsidR="003F0E93" w:rsidRPr="003F0E93" w:rsidRDefault="003F0E93" w:rsidP="003F0E93">
            <w:pPr>
              <w:jc w:val="center"/>
              <w:rPr>
                <w:rFonts w:ascii="Arial" w:hAnsi="Arial" w:cs="Arial"/>
                <w:b/>
                <w:sz w:val="24"/>
              </w:rPr>
            </w:pPr>
            <w:r w:rsidRPr="003F0E93">
              <w:rPr>
                <w:rFonts w:ascii="Arial" w:hAnsi="Arial" w:cs="Arial"/>
                <w:b/>
                <w:sz w:val="24"/>
              </w:rPr>
              <w:t>Males</w:t>
            </w:r>
          </w:p>
        </w:tc>
        <w:tc>
          <w:tcPr>
            <w:tcW w:w="997" w:type="dxa"/>
          </w:tcPr>
          <w:p w:rsidR="003F0E93" w:rsidRPr="003F0E93" w:rsidRDefault="003F0E93" w:rsidP="003F0E93">
            <w:pPr>
              <w:jc w:val="center"/>
              <w:rPr>
                <w:rFonts w:ascii="Arial" w:hAnsi="Arial" w:cs="Arial"/>
                <w:b/>
                <w:sz w:val="24"/>
              </w:rPr>
            </w:pPr>
            <w:r w:rsidRPr="003F0E93">
              <w:rPr>
                <w:rFonts w:ascii="Arial" w:hAnsi="Arial" w:cs="Arial"/>
                <w:b/>
                <w:sz w:val="24"/>
              </w:rPr>
              <w:t>Females</w:t>
            </w:r>
          </w:p>
        </w:tc>
        <w:tc>
          <w:tcPr>
            <w:tcW w:w="1144" w:type="dxa"/>
          </w:tcPr>
          <w:p w:rsidR="003F0E93" w:rsidRPr="003F0E93" w:rsidRDefault="003F0E93" w:rsidP="003F0E93">
            <w:pPr>
              <w:jc w:val="center"/>
              <w:rPr>
                <w:rFonts w:ascii="Arial" w:hAnsi="Arial" w:cs="Arial"/>
                <w:b/>
                <w:sz w:val="24"/>
              </w:rPr>
            </w:pPr>
            <w:r w:rsidRPr="003F0E93">
              <w:rPr>
                <w:rFonts w:ascii="Arial" w:hAnsi="Arial" w:cs="Arial"/>
                <w:b/>
                <w:sz w:val="24"/>
              </w:rPr>
              <w:t>Area (hectares)</w:t>
            </w:r>
          </w:p>
        </w:tc>
        <w:tc>
          <w:tcPr>
            <w:tcW w:w="1423" w:type="dxa"/>
          </w:tcPr>
          <w:p w:rsidR="003F0E93" w:rsidRPr="003F0E93" w:rsidRDefault="003F0E93" w:rsidP="003F0E93">
            <w:pPr>
              <w:jc w:val="center"/>
              <w:rPr>
                <w:rFonts w:ascii="Arial" w:hAnsi="Arial" w:cs="Arial"/>
                <w:b/>
                <w:sz w:val="24"/>
              </w:rPr>
            </w:pPr>
            <w:r w:rsidRPr="003F0E93">
              <w:rPr>
                <w:rFonts w:ascii="Arial" w:hAnsi="Arial" w:cs="Arial"/>
                <w:b/>
                <w:sz w:val="24"/>
              </w:rPr>
              <w:t>Population density</w:t>
            </w:r>
          </w:p>
        </w:tc>
        <w:tc>
          <w:tcPr>
            <w:tcW w:w="1002" w:type="dxa"/>
          </w:tcPr>
          <w:p w:rsidR="003F0E93" w:rsidRPr="003F0E93" w:rsidRDefault="003F0E93" w:rsidP="003F0E93">
            <w:pPr>
              <w:jc w:val="center"/>
              <w:rPr>
                <w:rFonts w:ascii="Arial" w:hAnsi="Arial" w:cs="Arial"/>
                <w:b/>
                <w:sz w:val="24"/>
              </w:rPr>
            </w:pPr>
            <w:r w:rsidRPr="003F0E93">
              <w:rPr>
                <w:rFonts w:ascii="Arial" w:hAnsi="Arial" w:cs="Arial"/>
                <w:b/>
                <w:sz w:val="24"/>
              </w:rPr>
              <w:t>0-19</w:t>
            </w:r>
          </w:p>
        </w:tc>
        <w:tc>
          <w:tcPr>
            <w:tcW w:w="1281" w:type="dxa"/>
          </w:tcPr>
          <w:p w:rsidR="003F0E93" w:rsidRPr="003F0E93" w:rsidRDefault="003F0E93" w:rsidP="003F0E93">
            <w:pPr>
              <w:jc w:val="center"/>
              <w:rPr>
                <w:rFonts w:ascii="Arial" w:hAnsi="Arial" w:cs="Arial"/>
                <w:b/>
                <w:sz w:val="24"/>
              </w:rPr>
            </w:pPr>
            <w:r w:rsidRPr="003F0E93">
              <w:rPr>
                <w:rFonts w:ascii="Arial" w:hAnsi="Arial" w:cs="Arial"/>
                <w:b/>
                <w:sz w:val="24"/>
              </w:rPr>
              <w:t>20-64</w:t>
            </w:r>
          </w:p>
        </w:tc>
        <w:tc>
          <w:tcPr>
            <w:tcW w:w="1139" w:type="dxa"/>
          </w:tcPr>
          <w:p w:rsidR="003F0E93" w:rsidRPr="003F0E93" w:rsidRDefault="003F0E93" w:rsidP="003F0E93">
            <w:pPr>
              <w:jc w:val="center"/>
              <w:rPr>
                <w:rFonts w:ascii="Arial" w:hAnsi="Arial" w:cs="Arial"/>
                <w:b/>
                <w:sz w:val="24"/>
              </w:rPr>
            </w:pPr>
            <w:r w:rsidRPr="003F0E93">
              <w:rPr>
                <w:rFonts w:ascii="Arial" w:hAnsi="Arial" w:cs="Arial"/>
                <w:b/>
                <w:sz w:val="24"/>
              </w:rPr>
              <w:t>65+</w:t>
            </w:r>
          </w:p>
        </w:tc>
      </w:tr>
      <w:tr w:rsidR="003F0E93" w:rsidRPr="003F0E93" w:rsidTr="009B57D5">
        <w:tc>
          <w:tcPr>
            <w:tcW w:w="1418"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2,522</w:t>
            </w:r>
          </w:p>
        </w:tc>
        <w:tc>
          <w:tcPr>
            <w:tcW w:w="992"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1,235</w:t>
            </w:r>
          </w:p>
        </w:tc>
        <w:tc>
          <w:tcPr>
            <w:tcW w:w="997"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1,287</w:t>
            </w:r>
          </w:p>
        </w:tc>
        <w:tc>
          <w:tcPr>
            <w:tcW w:w="1144"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3,628</w:t>
            </w:r>
          </w:p>
        </w:tc>
        <w:tc>
          <w:tcPr>
            <w:tcW w:w="1423"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4.37</w:t>
            </w:r>
          </w:p>
        </w:tc>
        <w:tc>
          <w:tcPr>
            <w:tcW w:w="1002"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539</w:t>
            </w:r>
          </w:p>
        </w:tc>
        <w:tc>
          <w:tcPr>
            <w:tcW w:w="1281"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1,501</w:t>
            </w:r>
          </w:p>
        </w:tc>
        <w:tc>
          <w:tcPr>
            <w:tcW w:w="1139"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482</w:t>
            </w:r>
          </w:p>
        </w:tc>
      </w:tr>
    </w:tbl>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Most of the population (2,088 people, 82.8%) did not have long-term conditions or health problems that limited their day-to-day activities. 187 people (7.4%) had day-to-day activities limited a lot and a further 247 (9.8%) people had them limited a little. Most of the population (2,083 people, 82.6%) had very good or good health. 427 people (17%) had very bad or bad health.</w:t>
      </w:r>
    </w:p>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
        <w:tblW w:w="9224" w:type="dxa"/>
        <w:tblInd w:w="-15" w:type="dxa"/>
        <w:tblLayout w:type="fixed"/>
        <w:tblLook w:val="04A0" w:firstRow="1" w:lastRow="0" w:firstColumn="1" w:lastColumn="0" w:noHBand="0" w:noVBand="1"/>
      </w:tblPr>
      <w:tblGrid>
        <w:gridCol w:w="1376"/>
        <w:gridCol w:w="1328"/>
        <w:gridCol w:w="1275"/>
        <w:gridCol w:w="993"/>
        <w:gridCol w:w="992"/>
        <w:gridCol w:w="992"/>
        <w:gridCol w:w="1134"/>
        <w:gridCol w:w="1134"/>
      </w:tblGrid>
      <w:tr w:rsidR="003F0E93" w:rsidRPr="003F0E93" w:rsidTr="009B57D5">
        <w:tc>
          <w:tcPr>
            <w:tcW w:w="1376" w:type="dxa"/>
          </w:tcPr>
          <w:p w:rsidR="003F0E93" w:rsidRPr="003F0E93" w:rsidRDefault="003F0E93" w:rsidP="003F0E93">
            <w:pPr>
              <w:jc w:val="center"/>
              <w:rPr>
                <w:rFonts w:ascii="Arial" w:hAnsi="Arial" w:cs="Arial"/>
                <w:b/>
                <w:sz w:val="24"/>
              </w:rPr>
            </w:pPr>
            <w:r w:rsidRPr="003F0E93">
              <w:rPr>
                <w:rFonts w:ascii="Arial" w:hAnsi="Arial" w:cs="Arial"/>
                <w:b/>
                <w:sz w:val="24"/>
              </w:rPr>
              <w:t>Day-to-day activities limited a lot</w:t>
            </w:r>
          </w:p>
        </w:tc>
        <w:tc>
          <w:tcPr>
            <w:tcW w:w="1328" w:type="dxa"/>
          </w:tcPr>
          <w:p w:rsidR="003F0E93" w:rsidRPr="003F0E93" w:rsidRDefault="003F0E93" w:rsidP="003F0E93">
            <w:pPr>
              <w:jc w:val="center"/>
              <w:rPr>
                <w:rFonts w:ascii="Arial" w:hAnsi="Arial" w:cs="Arial"/>
                <w:b/>
                <w:sz w:val="24"/>
              </w:rPr>
            </w:pPr>
            <w:r w:rsidRPr="003F0E93">
              <w:rPr>
                <w:rFonts w:ascii="Arial" w:hAnsi="Arial" w:cs="Arial"/>
                <w:b/>
                <w:sz w:val="24"/>
              </w:rPr>
              <w:t>Day-to-day activities limited a little</w:t>
            </w:r>
          </w:p>
        </w:tc>
        <w:tc>
          <w:tcPr>
            <w:tcW w:w="1275" w:type="dxa"/>
          </w:tcPr>
          <w:p w:rsidR="003F0E93" w:rsidRPr="003F0E93" w:rsidRDefault="003F0E93" w:rsidP="003F0E93">
            <w:pPr>
              <w:jc w:val="center"/>
              <w:rPr>
                <w:rFonts w:ascii="Arial" w:hAnsi="Arial" w:cs="Arial"/>
                <w:b/>
                <w:sz w:val="24"/>
              </w:rPr>
            </w:pPr>
            <w:r w:rsidRPr="003F0E93">
              <w:rPr>
                <w:rFonts w:ascii="Arial" w:hAnsi="Arial" w:cs="Arial"/>
                <w:b/>
                <w:sz w:val="24"/>
              </w:rPr>
              <w:t>Day-to-day activities not limited</w:t>
            </w:r>
          </w:p>
        </w:tc>
        <w:tc>
          <w:tcPr>
            <w:tcW w:w="993" w:type="dxa"/>
          </w:tcPr>
          <w:p w:rsidR="003F0E93" w:rsidRPr="003F0E93" w:rsidRDefault="003F0E93" w:rsidP="003F0E93">
            <w:pPr>
              <w:jc w:val="center"/>
              <w:rPr>
                <w:rFonts w:ascii="Arial" w:hAnsi="Arial" w:cs="Arial"/>
                <w:b/>
                <w:sz w:val="24"/>
              </w:rPr>
            </w:pPr>
            <w:r w:rsidRPr="003F0E93">
              <w:rPr>
                <w:rFonts w:ascii="Arial" w:hAnsi="Arial" w:cs="Arial"/>
                <w:b/>
                <w:sz w:val="24"/>
              </w:rPr>
              <w:t>Health – very good</w:t>
            </w:r>
          </w:p>
        </w:tc>
        <w:tc>
          <w:tcPr>
            <w:tcW w:w="992" w:type="dxa"/>
          </w:tcPr>
          <w:p w:rsidR="003F0E93" w:rsidRPr="003F0E93" w:rsidRDefault="003F0E93" w:rsidP="003F0E93">
            <w:pPr>
              <w:jc w:val="center"/>
              <w:rPr>
                <w:rFonts w:ascii="Arial" w:hAnsi="Arial" w:cs="Arial"/>
                <w:b/>
                <w:sz w:val="24"/>
              </w:rPr>
            </w:pPr>
            <w:r w:rsidRPr="003F0E93">
              <w:rPr>
                <w:rFonts w:ascii="Arial" w:hAnsi="Arial" w:cs="Arial"/>
                <w:b/>
                <w:sz w:val="24"/>
              </w:rPr>
              <w:t>Health – good</w:t>
            </w:r>
          </w:p>
        </w:tc>
        <w:tc>
          <w:tcPr>
            <w:tcW w:w="992" w:type="dxa"/>
          </w:tcPr>
          <w:p w:rsidR="003F0E93" w:rsidRPr="003F0E93" w:rsidRDefault="003F0E93" w:rsidP="003F0E93">
            <w:pPr>
              <w:jc w:val="center"/>
              <w:rPr>
                <w:rFonts w:ascii="Arial" w:hAnsi="Arial" w:cs="Arial"/>
                <w:b/>
                <w:sz w:val="24"/>
              </w:rPr>
            </w:pPr>
            <w:r w:rsidRPr="003F0E93">
              <w:rPr>
                <w:rFonts w:ascii="Arial" w:hAnsi="Arial" w:cs="Arial"/>
                <w:b/>
                <w:sz w:val="24"/>
              </w:rPr>
              <w:t>Health – fair</w:t>
            </w:r>
          </w:p>
        </w:tc>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 xml:space="preserve">Heath – bad </w:t>
            </w:r>
          </w:p>
        </w:tc>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 xml:space="preserve">Health – very bad </w:t>
            </w:r>
          </w:p>
        </w:tc>
      </w:tr>
      <w:tr w:rsidR="003F0E93" w:rsidRPr="003F0E93" w:rsidTr="009B57D5">
        <w:tc>
          <w:tcPr>
            <w:tcW w:w="137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187</w:t>
            </w:r>
          </w:p>
        </w:tc>
        <w:tc>
          <w:tcPr>
            <w:tcW w:w="1328"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247</w:t>
            </w:r>
          </w:p>
        </w:tc>
        <w:tc>
          <w:tcPr>
            <w:tcW w:w="1275"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2,088</w:t>
            </w:r>
          </w:p>
        </w:tc>
        <w:tc>
          <w:tcPr>
            <w:tcW w:w="993"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1,246</w:t>
            </w:r>
          </w:p>
        </w:tc>
        <w:tc>
          <w:tcPr>
            <w:tcW w:w="992"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837</w:t>
            </w:r>
          </w:p>
        </w:tc>
        <w:tc>
          <w:tcPr>
            <w:tcW w:w="992"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356</w:t>
            </w:r>
          </w:p>
        </w:tc>
        <w:tc>
          <w:tcPr>
            <w:tcW w:w="1134"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71</w:t>
            </w:r>
          </w:p>
        </w:tc>
        <w:tc>
          <w:tcPr>
            <w:tcW w:w="1134" w:type="dxa"/>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12</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population aged 16 to 74 years within a 2 mile is 1,890. 245 people (13%) are employed full time and 326 are retired (17%). Only 37 people (less than 2%) are unemployed. </w:t>
      </w:r>
    </w:p>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
        <w:tblW w:w="0" w:type="auto"/>
        <w:tblInd w:w="5" w:type="dxa"/>
        <w:tblLook w:val="04A0" w:firstRow="1" w:lastRow="0" w:firstColumn="1" w:lastColumn="0" w:noHBand="0" w:noVBand="1"/>
      </w:tblPr>
      <w:tblGrid>
        <w:gridCol w:w="1284"/>
        <w:gridCol w:w="1764"/>
        <w:gridCol w:w="1764"/>
        <w:gridCol w:w="1764"/>
      </w:tblGrid>
      <w:tr w:rsidR="003F0E93" w:rsidRPr="003F0E93" w:rsidTr="009B57D5">
        <w:tc>
          <w:tcPr>
            <w:tcW w:w="1125"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All usual residents aged 16 to 74</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employee; full-time</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unemployed</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inactive; retired</w:t>
            </w:r>
          </w:p>
        </w:tc>
      </w:tr>
      <w:tr w:rsidR="003F0E93" w:rsidRPr="003F0E93" w:rsidTr="009B57D5">
        <w:tc>
          <w:tcPr>
            <w:tcW w:w="1125"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1,890</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245</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37</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326</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Mosaic analysis: 995 households (Mosaic)</w:t>
      </w:r>
    </w:p>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Group 'country living' is dominant group at 618 households and at 62.1% is described above. Group 'rural reality' is second at 306 households and 30.8%. Described as householders living in inexpensive homes in village communities. The key features are:</w:t>
      </w:r>
    </w:p>
    <w:p w:rsidR="003F0E93" w:rsidRPr="003F0E93" w:rsidRDefault="003F0E93" w:rsidP="003F0E93">
      <w:pPr>
        <w:numPr>
          <w:ilvl w:val="0"/>
          <w:numId w:val="7"/>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Rural locations;</w:t>
      </w:r>
    </w:p>
    <w:p w:rsidR="003F0E93" w:rsidRPr="003F0E93" w:rsidRDefault="003F0E93" w:rsidP="003F0E93">
      <w:pPr>
        <w:numPr>
          <w:ilvl w:val="0"/>
          <w:numId w:val="7"/>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Village and outlying houses;</w:t>
      </w:r>
    </w:p>
    <w:p w:rsidR="003F0E93" w:rsidRPr="003F0E93" w:rsidRDefault="003F0E93" w:rsidP="003F0E93">
      <w:pPr>
        <w:numPr>
          <w:ilvl w:val="0"/>
          <w:numId w:val="7"/>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Agricultural employment;</w:t>
      </w:r>
    </w:p>
    <w:p w:rsidR="003F0E93" w:rsidRPr="003F0E93" w:rsidRDefault="003F0E93" w:rsidP="003F0E93">
      <w:pPr>
        <w:numPr>
          <w:ilvl w:val="0"/>
          <w:numId w:val="7"/>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Most are homeowners;</w:t>
      </w:r>
    </w:p>
    <w:p w:rsidR="003F0E93" w:rsidRPr="003F0E93" w:rsidRDefault="003F0E93" w:rsidP="003F0E93">
      <w:pPr>
        <w:numPr>
          <w:ilvl w:val="0"/>
          <w:numId w:val="7"/>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Affordable value homes; and</w:t>
      </w:r>
    </w:p>
    <w:p w:rsidR="003F0E93" w:rsidRPr="003F0E93" w:rsidRDefault="003F0E93" w:rsidP="003F0E93">
      <w:pPr>
        <w:numPr>
          <w:ilvl w:val="0"/>
          <w:numId w:val="7"/>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Slow Internet speeds.</w:t>
      </w:r>
    </w:p>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5 mile radius</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population within a 5 mile radius is 39,132. The gender split is almost equal. The population density of the area is 23.8 people per hectare. There are 9,119 people aged 0-19 years old within a 5 mile radius. They make up 23.3% of the area population. There are 22,960 people aged 20 to 64 years (58.7% of the population). 7,053 people are aged 65 and over (18% of the population).  </w:t>
      </w:r>
    </w:p>
    <w:p w:rsidR="003F0E93" w:rsidRPr="003F0E93" w:rsidRDefault="003F0E93" w:rsidP="003F0E93">
      <w:pPr>
        <w:spacing w:after="0" w:line="240" w:lineRule="auto"/>
        <w:rPr>
          <w:rFonts w:ascii="Arial" w:eastAsia="Times New Roman" w:hAnsi="Arial" w:cs="Times New Roman"/>
          <w:b/>
          <w:sz w:val="24"/>
          <w:szCs w:val="20"/>
          <w:lang w:eastAsia="en-GB"/>
        </w:rPr>
      </w:pPr>
    </w:p>
    <w:tbl>
      <w:tblPr>
        <w:tblStyle w:val="TableGrid"/>
        <w:tblW w:w="9356" w:type="dxa"/>
        <w:tblInd w:w="-5" w:type="dxa"/>
        <w:tblLook w:val="04A0" w:firstRow="1" w:lastRow="0" w:firstColumn="1" w:lastColumn="0" w:noHBand="0" w:noVBand="1"/>
      </w:tblPr>
      <w:tblGrid>
        <w:gridCol w:w="1443"/>
        <w:gridCol w:w="1031"/>
        <w:gridCol w:w="1235"/>
        <w:gridCol w:w="1364"/>
        <w:gridCol w:w="1456"/>
        <w:gridCol w:w="898"/>
        <w:gridCol w:w="948"/>
        <w:gridCol w:w="981"/>
      </w:tblGrid>
      <w:tr w:rsidR="003F0E93" w:rsidRPr="003F0E93" w:rsidTr="009B57D5">
        <w:tc>
          <w:tcPr>
            <w:tcW w:w="1276" w:type="dxa"/>
          </w:tcPr>
          <w:p w:rsidR="003F0E93" w:rsidRPr="003F0E93" w:rsidRDefault="003F0E93" w:rsidP="003F0E93">
            <w:pPr>
              <w:jc w:val="center"/>
              <w:rPr>
                <w:rFonts w:ascii="Arial" w:hAnsi="Arial"/>
                <w:b/>
                <w:sz w:val="24"/>
              </w:rPr>
            </w:pPr>
            <w:r w:rsidRPr="003F0E93">
              <w:rPr>
                <w:rFonts w:ascii="Arial" w:hAnsi="Arial"/>
                <w:b/>
                <w:sz w:val="24"/>
              </w:rPr>
              <w:t>Total population</w:t>
            </w:r>
          </w:p>
        </w:tc>
        <w:tc>
          <w:tcPr>
            <w:tcW w:w="1134" w:type="dxa"/>
          </w:tcPr>
          <w:p w:rsidR="003F0E93" w:rsidRPr="003F0E93" w:rsidRDefault="003F0E93" w:rsidP="003F0E93">
            <w:pPr>
              <w:jc w:val="center"/>
              <w:rPr>
                <w:rFonts w:ascii="Arial" w:hAnsi="Arial"/>
                <w:b/>
                <w:sz w:val="24"/>
              </w:rPr>
            </w:pPr>
            <w:r w:rsidRPr="003F0E93">
              <w:rPr>
                <w:rFonts w:ascii="Arial" w:hAnsi="Arial"/>
                <w:b/>
                <w:sz w:val="24"/>
              </w:rPr>
              <w:t>Males</w:t>
            </w:r>
          </w:p>
        </w:tc>
        <w:tc>
          <w:tcPr>
            <w:tcW w:w="1276" w:type="dxa"/>
          </w:tcPr>
          <w:p w:rsidR="003F0E93" w:rsidRPr="003F0E93" w:rsidRDefault="003F0E93" w:rsidP="003F0E93">
            <w:pPr>
              <w:jc w:val="center"/>
              <w:rPr>
                <w:rFonts w:ascii="Arial" w:hAnsi="Arial"/>
                <w:b/>
                <w:sz w:val="24"/>
              </w:rPr>
            </w:pPr>
            <w:r w:rsidRPr="003F0E93">
              <w:rPr>
                <w:rFonts w:ascii="Arial" w:hAnsi="Arial"/>
                <w:b/>
                <w:sz w:val="24"/>
              </w:rPr>
              <w:t>Females</w:t>
            </w:r>
          </w:p>
        </w:tc>
        <w:tc>
          <w:tcPr>
            <w:tcW w:w="1136" w:type="dxa"/>
          </w:tcPr>
          <w:p w:rsidR="003F0E93" w:rsidRPr="003F0E93" w:rsidRDefault="003F0E93" w:rsidP="003F0E93">
            <w:pPr>
              <w:jc w:val="center"/>
              <w:rPr>
                <w:rFonts w:ascii="Arial" w:hAnsi="Arial"/>
                <w:b/>
                <w:sz w:val="24"/>
              </w:rPr>
            </w:pPr>
            <w:r w:rsidRPr="003F0E93">
              <w:rPr>
                <w:rFonts w:ascii="Arial" w:hAnsi="Arial"/>
                <w:b/>
                <w:sz w:val="24"/>
              </w:rPr>
              <w:t>Area (hectares)</w:t>
            </w:r>
          </w:p>
        </w:tc>
        <w:tc>
          <w:tcPr>
            <w:tcW w:w="1415" w:type="dxa"/>
          </w:tcPr>
          <w:p w:rsidR="003F0E93" w:rsidRPr="003F0E93" w:rsidRDefault="003F0E93" w:rsidP="003F0E93">
            <w:pPr>
              <w:jc w:val="center"/>
              <w:rPr>
                <w:rFonts w:ascii="Arial" w:hAnsi="Arial"/>
                <w:b/>
                <w:sz w:val="24"/>
              </w:rPr>
            </w:pPr>
            <w:r w:rsidRPr="003F0E93">
              <w:rPr>
                <w:rFonts w:ascii="Arial" w:hAnsi="Arial"/>
                <w:b/>
                <w:sz w:val="24"/>
              </w:rPr>
              <w:t>Population density</w:t>
            </w:r>
          </w:p>
        </w:tc>
        <w:tc>
          <w:tcPr>
            <w:tcW w:w="993" w:type="dxa"/>
          </w:tcPr>
          <w:p w:rsidR="003F0E93" w:rsidRPr="003F0E93" w:rsidRDefault="003F0E93" w:rsidP="003F0E93">
            <w:pPr>
              <w:jc w:val="center"/>
              <w:rPr>
                <w:rFonts w:ascii="Arial" w:hAnsi="Arial"/>
                <w:b/>
                <w:sz w:val="24"/>
              </w:rPr>
            </w:pPr>
            <w:r w:rsidRPr="003F0E93">
              <w:rPr>
                <w:rFonts w:ascii="Arial" w:hAnsi="Arial"/>
                <w:b/>
                <w:sz w:val="24"/>
              </w:rPr>
              <w:t>0 - 19</w:t>
            </w:r>
          </w:p>
        </w:tc>
        <w:tc>
          <w:tcPr>
            <w:tcW w:w="992" w:type="dxa"/>
          </w:tcPr>
          <w:p w:rsidR="003F0E93" w:rsidRPr="003F0E93" w:rsidRDefault="003F0E93" w:rsidP="003F0E93">
            <w:pPr>
              <w:jc w:val="center"/>
              <w:rPr>
                <w:rFonts w:ascii="Arial" w:hAnsi="Arial"/>
                <w:b/>
                <w:sz w:val="24"/>
              </w:rPr>
            </w:pPr>
            <w:r w:rsidRPr="003F0E93">
              <w:rPr>
                <w:rFonts w:ascii="Arial" w:hAnsi="Arial"/>
                <w:b/>
                <w:sz w:val="24"/>
              </w:rPr>
              <w:t>20 - 64</w:t>
            </w:r>
          </w:p>
        </w:tc>
        <w:tc>
          <w:tcPr>
            <w:tcW w:w="1134" w:type="dxa"/>
          </w:tcPr>
          <w:p w:rsidR="003F0E93" w:rsidRPr="003F0E93" w:rsidRDefault="003F0E93" w:rsidP="003F0E93">
            <w:pPr>
              <w:jc w:val="center"/>
              <w:rPr>
                <w:rFonts w:ascii="Arial" w:hAnsi="Arial"/>
                <w:b/>
                <w:sz w:val="24"/>
              </w:rPr>
            </w:pPr>
            <w:r w:rsidRPr="003F0E93">
              <w:rPr>
                <w:rFonts w:ascii="Arial" w:hAnsi="Arial"/>
                <w:b/>
                <w:sz w:val="24"/>
              </w:rPr>
              <w:t>65+</w:t>
            </w:r>
          </w:p>
        </w:tc>
      </w:tr>
      <w:tr w:rsidR="003F0E93" w:rsidRPr="003F0E93" w:rsidTr="009B57D5">
        <w:tc>
          <w:tcPr>
            <w:tcW w:w="1276" w:type="dxa"/>
            <w:shd w:val="clear" w:color="auto" w:fill="auto"/>
            <w:vAlign w:val="bottom"/>
          </w:tcPr>
          <w:p w:rsidR="003F0E93" w:rsidRPr="003F0E93" w:rsidRDefault="003F0E93" w:rsidP="003F0E93">
            <w:pPr>
              <w:jc w:val="right"/>
              <w:rPr>
                <w:rFonts w:eastAsia="Times New Roman"/>
                <w:color w:val="000000"/>
                <w:sz w:val="24"/>
                <w:lang w:eastAsia="en-GB"/>
              </w:rPr>
            </w:pPr>
            <w:r w:rsidRPr="003F0E93">
              <w:rPr>
                <w:rFonts w:eastAsia="Times New Roman"/>
                <w:color w:val="000000"/>
                <w:sz w:val="24"/>
                <w:lang w:eastAsia="en-GB"/>
              </w:rPr>
              <w:t>39,132</w:t>
            </w:r>
          </w:p>
        </w:tc>
        <w:tc>
          <w:tcPr>
            <w:tcW w:w="1134" w:type="dxa"/>
            <w:shd w:val="clear" w:color="auto" w:fill="auto"/>
            <w:vAlign w:val="bottom"/>
          </w:tcPr>
          <w:p w:rsidR="003F0E93" w:rsidRPr="003F0E93" w:rsidRDefault="003F0E93" w:rsidP="003F0E93">
            <w:pPr>
              <w:jc w:val="right"/>
              <w:rPr>
                <w:rFonts w:eastAsia="Times New Roman"/>
                <w:color w:val="000000"/>
                <w:sz w:val="24"/>
                <w:lang w:eastAsia="en-GB"/>
              </w:rPr>
            </w:pPr>
            <w:r w:rsidRPr="003F0E93">
              <w:rPr>
                <w:rFonts w:eastAsia="Times New Roman"/>
                <w:color w:val="000000"/>
                <w:sz w:val="24"/>
                <w:lang w:eastAsia="en-GB"/>
              </w:rPr>
              <w:t>19,385</w:t>
            </w:r>
          </w:p>
        </w:tc>
        <w:tc>
          <w:tcPr>
            <w:tcW w:w="1276" w:type="dxa"/>
            <w:shd w:val="clear" w:color="auto" w:fill="auto"/>
            <w:vAlign w:val="bottom"/>
          </w:tcPr>
          <w:p w:rsidR="003F0E93" w:rsidRPr="003F0E93" w:rsidRDefault="003F0E93" w:rsidP="003F0E93">
            <w:pPr>
              <w:jc w:val="right"/>
              <w:rPr>
                <w:rFonts w:eastAsia="Times New Roman"/>
                <w:color w:val="000000"/>
                <w:sz w:val="24"/>
                <w:lang w:eastAsia="en-GB"/>
              </w:rPr>
            </w:pPr>
            <w:r w:rsidRPr="003F0E93">
              <w:rPr>
                <w:rFonts w:eastAsia="Times New Roman"/>
                <w:color w:val="000000"/>
                <w:sz w:val="24"/>
                <w:lang w:eastAsia="en-GB"/>
              </w:rPr>
              <w:t>19,747</w:t>
            </w:r>
          </w:p>
        </w:tc>
        <w:tc>
          <w:tcPr>
            <w:tcW w:w="1136" w:type="dxa"/>
            <w:shd w:val="clear" w:color="auto" w:fill="auto"/>
            <w:vAlign w:val="bottom"/>
          </w:tcPr>
          <w:p w:rsidR="003F0E93" w:rsidRPr="003F0E93" w:rsidRDefault="003F0E93" w:rsidP="003F0E93">
            <w:pPr>
              <w:jc w:val="right"/>
              <w:rPr>
                <w:rFonts w:eastAsia="Times New Roman"/>
                <w:color w:val="000000"/>
                <w:sz w:val="24"/>
                <w:lang w:eastAsia="en-GB"/>
              </w:rPr>
            </w:pPr>
            <w:r w:rsidRPr="003F0E93">
              <w:rPr>
                <w:rFonts w:eastAsia="Times New Roman"/>
                <w:color w:val="000000"/>
                <w:sz w:val="24"/>
                <w:lang w:eastAsia="en-GB"/>
              </w:rPr>
              <w:t>19,668</w:t>
            </w:r>
          </w:p>
        </w:tc>
        <w:tc>
          <w:tcPr>
            <w:tcW w:w="1415" w:type="dxa"/>
            <w:shd w:val="clear" w:color="auto" w:fill="auto"/>
            <w:vAlign w:val="bottom"/>
          </w:tcPr>
          <w:p w:rsidR="003F0E93" w:rsidRPr="003F0E93" w:rsidRDefault="003F0E93" w:rsidP="003F0E93">
            <w:pPr>
              <w:jc w:val="right"/>
              <w:rPr>
                <w:rFonts w:eastAsia="Times New Roman"/>
                <w:color w:val="000000"/>
                <w:sz w:val="24"/>
                <w:lang w:eastAsia="en-GB"/>
              </w:rPr>
            </w:pPr>
            <w:r w:rsidRPr="003F0E93">
              <w:rPr>
                <w:rFonts w:eastAsia="Times New Roman"/>
                <w:color w:val="000000"/>
                <w:sz w:val="24"/>
                <w:lang w:eastAsia="en-GB"/>
              </w:rPr>
              <w:t>23.8</w:t>
            </w:r>
          </w:p>
        </w:tc>
        <w:tc>
          <w:tcPr>
            <w:tcW w:w="993" w:type="dxa"/>
            <w:vAlign w:val="bottom"/>
          </w:tcPr>
          <w:p w:rsidR="003F0E93" w:rsidRPr="003F0E93" w:rsidRDefault="003F0E93" w:rsidP="003F0E93">
            <w:pPr>
              <w:jc w:val="right"/>
              <w:rPr>
                <w:color w:val="000000"/>
                <w:sz w:val="24"/>
              </w:rPr>
            </w:pPr>
            <w:r w:rsidRPr="003F0E93">
              <w:rPr>
                <w:color w:val="000000"/>
                <w:sz w:val="24"/>
              </w:rPr>
              <w:t>9,119</w:t>
            </w:r>
          </w:p>
        </w:tc>
        <w:tc>
          <w:tcPr>
            <w:tcW w:w="992" w:type="dxa"/>
            <w:vAlign w:val="bottom"/>
          </w:tcPr>
          <w:p w:rsidR="003F0E93" w:rsidRPr="003F0E93" w:rsidRDefault="003F0E93" w:rsidP="003F0E93">
            <w:pPr>
              <w:jc w:val="right"/>
              <w:rPr>
                <w:color w:val="000000"/>
                <w:sz w:val="24"/>
              </w:rPr>
            </w:pPr>
            <w:r w:rsidRPr="003F0E93">
              <w:rPr>
                <w:color w:val="000000"/>
                <w:sz w:val="24"/>
              </w:rPr>
              <w:t>22,960</w:t>
            </w:r>
          </w:p>
        </w:tc>
        <w:tc>
          <w:tcPr>
            <w:tcW w:w="1134" w:type="dxa"/>
            <w:vAlign w:val="bottom"/>
          </w:tcPr>
          <w:p w:rsidR="003F0E93" w:rsidRPr="003F0E93" w:rsidRDefault="003F0E93" w:rsidP="003F0E93">
            <w:pPr>
              <w:jc w:val="right"/>
              <w:rPr>
                <w:color w:val="000000"/>
                <w:sz w:val="24"/>
              </w:rPr>
            </w:pPr>
            <w:r w:rsidRPr="003F0E93">
              <w:rPr>
                <w:color w:val="000000"/>
                <w:sz w:val="24"/>
              </w:rPr>
              <w:t>7,053</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b/>
          <w:sz w:val="24"/>
          <w:szCs w:val="20"/>
          <w:lang w:eastAsia="en-GB"/>
        </w:rPr>
      </w:pPr>
      <w:r w:rsidRPr="003F0E93">
        <w:rPr>
          <w:rFonts w:ascii="Arial" w:eastAsia="Times New Roman" w:hAnsi="Arial" w:cs="Times New Roman"/>
          <w:sz w:val="24"/>
          <w:szCs w:val="20"/>
          <w:lang w:eastAsia="en-GB"/>
        </w:rPr>
        <w:t>Most of the population (32,373 people, 82.7%) did not have long-term conditions or health problems that limited their day-to-day activities. 3,167 people (8.1%) had day-to-day activities limited a lot and a further 3,592 (9.2%) people had them limited a little. Most of the population (32,269 people, 82.5%) had very good or good health. 1,907 people (4.9%) had very bad or bad health.</w:t>
      </w:r>
    </w:p>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
        <w:tblW w:w="0" w:type="auto"/>
        <w:tblInd w:w="-5" w:type="dxa"/>
        <w:tblLook w:val="04A0" w:firstRow="1" w:lastRow="0" w:firstColumn="1" w:lastColumn="0" w:noHBand="0" w:noVBand="1"/>
      </w:tblPr>
      <w:tblGrid>
        <w:gridCol w:w="1244"/>
        <w:gridCol w:w="1276"/>
        <w:gridCol w:w="1244"/>
        <w:gridCol w:w="1034"/>
        <w:gridCol w:w="1034"/>
        <w:gridCol w:w="1034"/>
        <w:gridCol w:w="1034"/>
        <w:gridCol w:w="1034"/>
      </w:tblGrid>
      <w:tr w:rsidR="003F0E93" w:rsidRPr="003F0E93" w:rsidTr="009B57D5">
        <w:tc>
          <w:tcPr>
            <w:tcW w:w="1134" w:type="dxa"/>
          </w:tcPr>
          <w:p w:rsidR="003F0E93" w:rsidRPr="003F0E93" w:rsidRDefault="003F0E93" w:rsidP="003F0E93">
            <w:pPr>
              <w:jc w:val="center"/>
              <w:rPr>
                <w:rFonts w:ascii="Arial" w:hAnsi="Arial"/>
                <w:b/>
                <w:sz w:val="24"/>
              </w:rPr>
            </w:pPr>
            <w:r w:rsidRPr="003F0E93">
              <w:rPr>
                <w:rFonts w:ascii="Arial" w:hAnsi="Arial"/>
                <w:b/>
                <w:sz w:val="24"/>
              </w:rPr>
              <w:t>Day-to-day activities limited a lot</w:t>
            </w:r>
          </w:p>
        </w:tc>
        <w:tc>
          <w:tcPr>
            <w:tcW w:w="1276" w:type="dxa"/>
          </w:tcPr>
          <w:p w:rsidR="003F0E93" w:rsidRPr="003F0E93" w:rsidRDefault="003F0E93" w:rsidP="003F0E93">
            <w:pPr>
              <w:jc w:val="center"/>
              <w:rPr>
                <w:rFonts w:ascii="Arial" w:hAnsi="Arial"/>
                <w:b/>
                <w:sz w:val="24"/>
              </w:rPr>
            </w:pPr>
            <w:r w:rsidRPr="003F0E93">
              <w:rPr>
                <w:rFonts w:ascii="Arial" w:hAnsi="Arial"/>
                <w:b/>
                <w:sz w:val="24"/>
              </w:rPr>
              <w:t>Day-to-day activities limited a little</w:t>
            </w:r>
          </w:p>
        </w:tc>
        <w:tc>
          <w:tcPr>
            <w:tcW w:w="1034" w:type="dxa"/>
          </w:tcPr>
          <w:p w:rsidR="003F0E93" w:rsidRPr="003F0E93" w:rsidRDefault="003F0E93" w:rsidP="003F0E93">
            <w:pPr>
              <w:jc w:val="center"/>
              <w:rPr>
                <w:rFonts w:ascii="Arial" w:hAnsi="Arial"/>
                <w:b/>
                <w:sz w:val="24"/>
              </w:rPr>
            </w:pPr>
            <w:r w:rsidRPr="003F0E93">
              <w:rPr>
                <w:rFonts w:ascii="Arial" w:hAnsi="Arial"/>
                <w:b/>
                <w:sz w:val="24"/>
              </w:rPr>
              <w:t>Day-to-day activities not limited</w:t>
            </w:r>
          </w:p>
        </w:tc>
        <w:tc>
          <w:tcPr>
            <w:tcW w:w="1034" w:type="dxa"/>
          </w:tcPr>
          <w:p w:rsidR="003F0E93" w:rsidRPr="003F0E93" w:rsidRDefault="003F0E93" w:rsidP="003F0E93">
            <w:pPr>
              <w:jc w:val="center"/>
              <w:rPr>
                <w:rFonts w:ascii="Arial" w:hAnsi="Arial"/>
                <w:b/>
                <w:sz w:val="24"/>
              </w:rPr>
            </w:pPr>
            <w:r w:rsidRPr="003F0E93">
              <w:rPr>
                <w:rFonts w:ascii="Arial" w:hAnsi="Arial"/>
                <w:b/>
                <w:sz w:val="24"/>
              </w:rPr>
              <w:t>Health – very good</w:t>
            </w:r>
          </w:p>
        </w:tc>
        <w:tc>
          <w:tcPr>
            <w:tcW w:w="1034" w:type="dxa"/>
          </w:tcPr>
          <w:p w:rsidR="003F0E93" w:rsidRPr="003F0E93" w:rsidRDefault="003F0E93" w:rsidP="003F0E93">
            <w:pPr>
              <w:jc w:val="center"/>
              <w:rPr>
                <w:rFonts w:ascii="Arial" w:hAnsi="Arial"/>
                <w:b/>
                <w:sz w:val="24"/>
              </w:rPr>
            </w:pPr>
            <w:r w:rsidRPr="003F0E93">
              <w:rPr>
                <w:rFonts w:ascii="Arial" w:hAnsi="Arial"/>
                <w:b/>
                <w:sz w:val="24"/>
              </w:rPr>
              <w:t>Health – good</w:t>
            </w:r>
          </w:p>
        </w:tc>
        <w:tc>
          <w:tcPr>
            <w:tcW w:w="1034" w:type="dxa"/>
          </w:tcPr>
          <w:p w:rsidR="003F0E93" w:rsidRPr="003F0E93" w:rsidRDefault="003F0E93" w:rsidP="003F0E93">
            <w:pPr>
              <w:jc w:val="center"/>
              <w:rPr>
                <w:rFonts w:ascii="Arial" w:hAnsi="Arial"/>
                <w:b/>
                <w:sz w:val="24"/>
              </w:rPr>
            </w:pPr>
            <w:r w:rsidRPr="003F0E93">
              <w:rPr>
                <w:rFonts w:ascii="Arial" w:hAnsi="Arial"/>
                <w:b/>
                <w:sz w:val="24"/>
              </w:rPr>
              <w:t>Health – fair</w:t>
            </w:r>
          </w:p>
        </w:tc>
        <w:tc>
          <w:tcPr>
            <w:tcW w:w="1034" w:type="dxa"/>
          </w:tcPr>
          <w:p w:rsidR="003F0E93" w:rsidRPr="003F0E93" w:rsidRDefault="003F0E93" w:rsidP="003F0E93">
            <w:pPr>
              <w:jc w:val="center"/>
              <w:rPr>
                <w:rFonts w:ascii="Arial" w:hAnsi="Arial"/>
                <w:b/>
                <w:sz w:val="24"/>
              </w:rPr>
            </w:pPr>
            <w:r w:rsidRPr="003F0E93">
              <w:rPr>
                <w:rFonts w:ascii="Arial" w:hAnsi="Arial"/>
                <w:b/>
                <w:sz w:val="24"/>
              </w:rPr>
              <w:t xml:space="preserve">Heath – bad </w:t>
            </w:r>
          </w:p>
        </w:tc>
        <w:tc>
          <w:tcPr>
            <w:tcW w:w="1034" w:type="dxa"/>
          </w:tcPr>
          <w:p w:rsidR="003F0E93" w:rsidRPr="003F0E93" w:rsidRDefault="003F0E93" w:rsidP="003F0E93">
            <w:pPr>
              <w:jc w:val="center"/>
              <w:rPr>
                <w:rFonts w:ascii="Arial" w:hAnsi="Arial"/>
                <w:b/>
                <w:sz w:val="24"/>
              </w:rPr>
            </w:pPr>
            <w:r w:rsidRPr="003F0E93">
              <w:rPr>
                <w:rFonts w:ascii="Arial" w:hAnsi="Arial"/>
                <w:b/>
                <w:sz w:val="24"/>
              </w:rPr>
              <w:t xml:space="preserve">Health – very bad </w:t>
            </w:r>
          </w:p>
        </w:tc>
      </w:tr>
      <w:tr w:rsidR="003F0E93" w:rsidRPr="003F0E93" w:rsidTr="009B57D5">
        <w:tc>
          <w:tcPr>
            <w:tcW w:w="1134" w:type="dxa"/>
            <w:shd w:val="clear" w:color="auto" w:fill="auto"/>
            <w:vAlign w:val="bottom"/>
          </w:tcPr>
          <w:p w:rsidR="003F0E93" w:rsidRPr="003F0E93" w:rsidRDefault="003F0E93" w:rsidP="003F0E93">
            <w:pPr>
              <w:jc w:val="right"/>
              <w:rPr>
                <w:color w:val="000000"/>
                <w:sz w:val="24"/>
              </w:rPr>
            </w:pPr>
            <w:r w:rsidRPr="003F0E93">
              <w:rPr>
                <w:color w:val="000000"/>
                <w:sz w:val="24"/>
              </w:rPr>
              <w:t>3,167</w:t>
            </w:r>
          </w:p>
        </w:tc>
        <w:tc>
          <w:tcPr>
            <w:tcW w:w="1276" w:type="dxa"/>
            <w:shd w:val="clear" w:color="auto" w:fill="auto"/>
            <w:vAlign w:val="bottom"/>
          </w:tcPr>
          <w:p w:rsidR="003F0E93" w:rsidRPr="003F0E93" w:rsidRDefault="003F0E93" w:rsidP="003F0E93">
            <w:pPr>
              <w:jc w:val="right"/>
              <w:rPr>
                <w:color w:val="000000"/>
                <w:sz w:val="24"/>
              </w:rPr>
            </w:pPr>
            <w:r w:rsidRPr="003F0E93">
              <w:rPr>
                <w:color w:val="000000"/>
                <w:sz w:val="24"/>
              </w:rPr>
              <w:t>3,592</w:t>
            </w:r>
          </w:p>
        </w:tc>
        <w:tc>
          <w:tcPr>
            <w:tcW w:w="1034" w:type="dxa"/>
            <w:shd w:val="clear" w:color="auto" w:fill="auto"/>
            <w:vAlign w:val="bottom"/>
          </w:tcPr>
          <w:p w:rsidR="003F0E93" w:rsidRPr="003F0E93" w:rsidRDefault="003F0E93" w:rsidP="003F0E93">
            <w:pPr>
              <w:jc w:val="right"/>
              <w:rPr>
                <w:color w:val="000000"/>
                <w:sz w:val="24"/>
              </w:rPr>
            </w:pPr>
            <w:r w:rsidRPr="003F0E93">
              <w:rPr>
                <w:color w:val="000000"/>
                <w:sz w:val="24"/>
              </w:rPr>
              <w:t>32,373</w:t>
            </w:r>
          </w:p>
        </w:tc>
        <w:tc>
          <w:tcPr>
            <w:tcW w:w="1034" w:type="dxa"/>
            <w:vAlign w:val="bottom"/>
          </w:tcPr>
          <w:p w:rsidR="003F0E93" w:rsidRPr="003F0E93" w:rsidRDefault="003F0E93" w:rsidP="003F0E93">
            <w:pPr>
              <w:jc w:val="right"/>
              <w:rPr>
                <w:color w:val="000000"/>
                <w:sz w:val="24"/>
              </w:rPr>
            </w:pPr>
            <w:r w:rsidRPr="003F0E93">
              <w:rPr>
                <w:color w:val="000000"/>
                <w:sz w:val="24"/>
              </w:rPr>
              <w:t>19,166</w:t>
            </w:r>
          </w:p>
        </w:tc>
        <w:tc>
          <w:tcPr>
            <w:tcW w:w="1034" w:type="dxa"/>
            <w:vAlign w:val="bottom"/>
          </w:tcPr>
          <w:p w:rsidR="003F0E93" w:rsidRPr="003F0E93" w:rsidRDefault="003F0E93" w:rsidP="003F0E93">
            <w:pPr>
              <w:jc w:val="right"/>
              <w:rPr>
                <w:color w:val="000000"/>
                <w:sz w:val="24"/>
              </w:rPr>
            </w:pPr>
            <w:r w:rsidRPr="003F0E93">
              <w:rPr>
                <w:color w:val="000000"/>
                <w:sz w:val="24"/>
              </w:rPr>
              <w:t>13,103</w:t>
            </w:r>
          </w:p>
        </w:tc>
        <w:tc>
          <w:tcPr>
            <w:tcW w:w="1034" w:type="dxa"/>
            <w:vAlign w:val="bottom"/>
          </w:tcPr>
          <w:p w:rsidR="003F0E93" w:rsidRPr="003F0E93" w:rsidRDefault="003F0E93" w:rsidP="003F0E93">
            <w:pPr>
              <w:jc w:val="right"/>
              <w:rPr>
                <w:color w:val="000000"/>
                <w:sz w:val="24"/>
              </w:rPr>
            </w:pPr>
            <w:r w:rsidRPr="003F0E93">
              <w:rPr>
                <w:color w:val="000000"/>
                <w:sz w:val="24"/>
              </w:rPr>
              <w:t>4,956</w:t>
            </w:r>
          </w:p>
        </w:tc>
        <w:tc>
          <w:tcPr>
            <w:tcW w:w="1034" w:type="dxa"/>
            <w:vAlign w:val="bottom"/>
          </w:tcPr>
          <w:p w:rsidR="003F0E93" w:rsidRPr="003F0E93" w:rsidRDefault="003F0E93" w:rsidP="003F0E93">
            <w:pPr>
              <w:jc w:val="right"/>
              <w:rPr>
                <w:color w:val="000000"/>
                <w:sz w:val="24"/>
              </w:rPr>
            </w:pPr>
            <w:r w:rsidRPr="003F0E93">
              <w:rPr>
                <w:color w:val="000000"/>
                <w:sz w:val="24"/>
              </w:rPr>
              <w:t>1,510</w:t>
            </w:r>
          </w:p>
        </w:tc>
        <w:tc>
          <w:tcPr>
            <w:tcW w:w="1034" w:type="dxa"/>
            <w:vAlign w:val="bottom"/>
          </w:tcPr>
          <w:p w:rsidR="003F0E93" w:rsidRPr="003F0E93" w:rsidRDefault="003F0E93" w:rsidP="003F0E93">
            <w:pPr>
              <w:jc w:val="right"/>
              <w:rPr>
                <w:color w:val="000000"/>
                <w:sz w:val="24"/>
              </w:rPr>
            </w:pPr>
            <w:r w:rsidRPr="003F0E93">
              <w:rPr>
                <w:color w:val="000000"/>
                <w:sz w:val="24"/>
              </w:rPr>
              <w:t>397</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The population aged 16 to 74 within a 5 mile radius is 29,001. 4,070 people (14%) are employed full time and 4,890 are retired (17%). 759 people (2.6%) are unemployed.</w:t>
      </w:r>
    </w:p>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
        <w:tblW w:w="0" w:type="auto"/>
        <w:tblInd w:w="5" w:type="dxa"/>
        <w:tblLook w:val="04A0" w:firstRow="1" w:lastRow="0" w:firstColumn="1" w:lastColumn="0" w:noHBand="0" w:noVBand="1"/>
      </w:tblPr>
      <w:tblGrid>
        <w:gridCol w:w="1284"/>
        <w:gridCol w:w="1764"/>
        <w:gridCol w:w="1764"/>
        <w:gridCol w:w="1764"/>
      </w:tblGrid>
      <w:tr w:rsidR="003F0E93" w:rsidRPr="003F0E93" w:rsidTr="009B57D5">
        <w:tc>
          <w:tcPr>
            <w:tcW w:w="1125"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All usual residents aged 16 to 74</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employee; full-time</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unemployed</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inactive; retired</w:t>
            </w:r>
          </w:p>
        </w:tc>
      </w:tr>
      <w:tr w:rsidR="003F0E93" w:rsidRPr="003F0E93" w:rsidTr="009B57D5">
        <w:tc>
          <w:tcPr>
            <w:tcW w:w="1125"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29,001</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4,070</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759</w:t>
            </w:r>
          </w:p>
        </w:tc>
        <w:tc>
          <w:tcPr>
            <w:tcW w:w="1416" w:type="dxa"/>
            <w:shd w:val="clear" w:color="auto" w:fill="auto"/>
            <w:vAlign w:val="bottom"/>
          </w:tcPr>
          <w:p w:rsidR="003F0E93" w:rsidRPr="003F0E93" w:rsidRDefault="003F0E93" w:rsidP="003F0E93">
            <w:pPr>
              <w:jc w:val="right"/>
              <w:rPr>
                <w:rFonts w:ascii="Arial" w:hAnsi="Arial" w:cs="Arial"/>
                <w:color w:val="000000"/>
                <w:sz w:val="24"/>
              </w:rPr>
            </w:pPr>
            <w:r w:rsidRPr="003F0E93">
              <w:rPr>
                <w:rFonts w:ascii="Arial" w:hAnsi="Arial" w:cs="Arial"/>
                <w:color w:val="000000"/>
                <w:sz w:val="24"/>
              </w:rPr>
              <w:t>4,890</w:t>
            </w:r>
          </w:p>
        </w:tc>
      </w:tr>
    </w:tbl>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t>Mosaic analysis: 16,426 households (Mosaic)</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Group 'country living' is dominant at 21.6% and 3,546 households, second is 'rural reality' at 1,966 households and 12%, and 'suburban stability' group comes next at 11% and at 1,811 households, described as mature suburban owners living settled lives in mid-range housing, as outskirts of Preston fall within this radius. The key features are:</w:t>
      </w:r>
    </w:p>
    <w:p w:rsidR="003F0E93" w:rsidRPr="003F0E93" w:rsidRDefault="003F0E93" w:rsidP="003F0E93">
      <w:pPr>
        <w:numPr>
          <w:ilvl w:val="0"/>
          <w:numId w:val="8"/>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Older families;</w:t>
      </w:r>
    </w:p>
    <w:p w:rsidR="003F0E93" w:rsidRPr="003F0E93" w:rsidRDefault="003F0E93" w:rsidP="003F0E93">
      <w:pPr>
        <w:numPr>
          <w:ilvl w:val="0"/>
          <w:numId w:val="8"/>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Some adult children at home;</w:t>
      </w:r>
    </w:p>
    <w:p w:rsidR="003F0E93" w:rsidRPr="003F0E93" w:rsidRDefault="003F0E93" w:rsidP="003F0E93">
      <w:pPr>
        <w:numPr>
          <w:ilvl w:val="0"/>
          <w:numId w:val="8"/>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Suburban mid-range homes;</w:t>
      </w:r>
    </w:p>
    <w:p w:rsidR="003F0E93" w:rsidRPr="003F0E93" w:rsidRDefault="003F0E93" w:rsidP="003F0E93">
      <w:pPr>
        <w:numPr>
          <w:ilvl w:val="0"/>
          <w:numId w:val="8"/>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3 bedrooms;</w:t>
      </w:r>
    </w:p>
    <w:p w:rsidR="003F0E93" w:rsidRPr="003F0E93" w:rsidRDefault="003F0E93" w:rsidP="003F0E93">
      <w:pPr>
        <w:numPr>
          <w:ilvl w:val="0"/>
          <w:numId w:val="8"/>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Have lived at same address some years; and</w:t>
      </w:r>
    </w:p>
    <w:p w:rsidR="003F0E93" w:rsidRPr="003F0E93" w:rsidRDefault="003F0E93" w:rsidP="003F0E93">
      <w:pPr>
        <w:numPr>
          <w:ilvl w:val="0"/>
          <w:numId w:val="8"/>
        </w:numPr>
        <w:spacing w:after="0" w:line="240" w:lineRule="auto"/>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Research on internet.</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Default="003F0E93" w:rsidP="003F0E93">
      <w:pPr>
        <w:spacing w:after="0" w:line="240" w:lineRule="auto"/>
        <w:rPr>
          <w:rFonts w:ascii="Arial" w:eastAsia="Times New Roman" w:hAnsi="Arial" w:cs="Times New Roman"/>
          <w:b/>
          <w:sz w:val="24"/>
          <w:szCs w:val="20"/>
          <w:lang w:eastAsia="en-GB"/>
        </w:rPr>
      </w:pPr>
    </w:p>
    <w:p w:rsidR="000445F1" w:rsidRDefault="000445F1" w:rsidP="003F0E93">
      <w:pPr>
        <w:spacing w:after="0" w:line="240" w:lineRule="auto"/>
        <w:rPr>
          <w:rFonts w:ascii="Arial" w:eastAsia="Times New Roman" w:hAnsi="Arial" w:cs="Times New Roman"/>
          <w:b/>
          <w:sz w:val="24"/>
          <w:szCs w:val="20"/>
          <w:lang w:eastAsia="en-GB"/>
        </w:rPr>
      </w:pPr>
    </w:p>
    <w:p w:rsidR="000445F1" w:rsidRDefault="000445F1" w:rsidP="003F0E93">
      <w:pPr>
        <w:spacing w:after="0" w:line="240" w:lineRule="auto"/>
        <w:rPr>
          <w:rFonts w:ascii="Arial" w:eastAsia="Times New Roman" w:hAnsi="Arial" w:cs="Times New Roman"/>
          <w:b/>
          <w:sz w:val="24"/>
          <w:szCs w:val="20"/>
          <w:lang w:eastAsia="en-GB"/>
        </w:rPr>
      </w:pPr>
    </w:p>
    <w:p w:rsidR="000445F1" w:rsidRDefault="000445F1" w:rsidP="003F0E93">
      <w:pPr>
        <w:spacing w:after="0" w:line="240" w:lineRule="auto"/>
        <w:rPr>
          <w:rFonts w:ascii="Arial" w:eastAsia="Times New Roman" w:hAnsi="Arial" w:cs="Times New Roman"/>
          <w:b/>
          <w:sz w:val="24"/>
          <w:szCs w:val="20"/>
          <w:lang w:eastAsia="en-GB"/>
        </w:rPr>
      </w:pPr>
    </w:p>
    <w:p w:rsidR="000445F1" w:rsidRDefault="000445F1" w:rsidP="003F0E93">
      <w:pPr>
        <w:spacing w:after="0" w:line="240" w:lineRule="auto"/>
        <w:rPr>
          <w:rFonts w:ascii="Arial" w:eastAsia="Times New Roman" w:hAnsi="Arial" w:cs="Times New Roman"/>
          <w:b/>
          <w:sz w:val="24"/>
          <w:szCs w:val="20"/>
          <w:lang w:eastAsia="en-GB"/>
        </w:rPr>
      </w:pPr>
    </w:p>
    <w:p w:rsidR="000445F1" w:rsidRDefault="000445F1" w:rsidP="003F0E93">
      <w:pPr>
        <w:spacing w:after="0" w:line="240" w:lineRule="auto"/>
        <w:rPr>
          <w:rFonts w:ascii="Arial" w:eastAsia="Times New Roman" w:hAnsi="Arial" w:cs="Times New Roman"/>
          <w:b/>
          <w:sz w:val="24"/>
          <w:szCs w:val="20"/>
          <w:lang w:eastAsia="en-GB"/>
        </w:rPr>
      </w:pPr>
    </w:p>
    <w:p w:rsidR="000445F1" w:rsidRDefault="000445F1" w:rsidP="003F0E93">
      <w:pPr>
        <w:spacing w:after="0" w:line="240" w:lineRule="auto"/>
        <w:rPr>
          <w:rFonts w:ascii="Arial" w:eastAsia="Times New Roman" w:hAnsi="Arial" w:cs="Times New Roman"/>
          <w:b/>
          <w:sz w:val="24"/>
          <w:szCs w:val="20"/>
          <w:lang w:eastAsia="en-GB"/>
        </w:rPr>
      </w:pPr>
    </w:p>
    <w:p w:rsidR="000445F1" w:rsidRPr="003F0E93" w:rsidRDefault="000445F1"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rPr>
          <w:rFonts w:ascii="Arial" w:eastAsia="Times New Roman" w:hAnsi="Arial" w:cs="Times New Roman"/>
          <w:b/>
          <w:sz w:val="24"/>
          <w:szCs w:val="20"/>
          <w:lang w:eastAsia="en-GB"/>
        </w:rPr>
      </w:pPr>
      <w:r w:rsidRPr="003F0E93">
        <w:rPr>
          <w:rFonts w:ascii="Arial" w:eastAsia="Times New Roman" w:hAnsi="Arial" w:cs="Times New Roman"/>
          <w:b/>
          <w:sz w:val="24"/>
          <w:szCs w:val="20"/>
          <w:lang w:eastAsia="en-GB"/>
        </w:rPr>
        <w:lastRenderedPageBreak/>
        <w:t>Index of Multiple Deprivation 2010</w:t>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center"/>
        <w:rPr>
          <w:rFonts w:ascii="Arial" w:eastAsia="Times New Roman" w:hAnsi="Arial" w:cs="Times New Roman"/>
          <w:sz w:val="24"/>
          <w:szCs w:val="20"/>
          <w:lang w:eastAsia="en-GB"/>
        </w:rPr>
      </w:pPr>
      <w:r w:rsidRPr="003F0E93">
        <w:rPr>
          <w:rFonts w:ascii="Arial" w:eastAsia="Times New Roman" w:hAnsi="Arial" w:cs="Times New Roman"/>
          <w:noProof/>
          <w:sz w:val="24"/>
          <w:szCs w:val="20"/>
          <w:lang w:eastAsia="en-GB"/>
        </w:rPr>
        <w:drawing>
          <wp:inline distT="0" distB="0" distL="0" distR="0" wp14:anchorId="5E54D342" wp14:editId="77396D21">
            <wp:extent cx="2697155" cy="381952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acre Wood deprivation.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3929" cy="3829118"/>
                    </a:xfrm>
                    <a:prstGeom prst="rect">
                      <a:avLst/>
                    </a:prstGeom>
                  </pic:spPr>
                </pic:pic>
              </a:graphicData>
            </a:graphic>
          </wp:inline>
        </w:drawing>
      </w:r>
    </w:p>
    <w:p w:rsidR="003F0E93" w:rsidRPr="003F0E93" w:rsidRDefault="003F0E93" w:rsidP="003F0E93">
      <w:pPr>
        <w:spacing w:after="0" w:line="240" w:lineRule="auto"/>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proposed Roseacre Wood site is in an LSOA that is in the least deprived 50% of all LSOAs in England. Similarly, the surrounding area within a 2 mile radius is not deprived. </w:t>
      </w:r>
    </w:p>
    <w:p w:rsidR="003F0E93" w:rsidRPr="003F0E93" w:rsidRDefault="003F0E93" w:rsidP="003F0E93">
      <w:pPr>
        <w:spacing w:after="0" w:line="240" w:lineRule="auto"/>
        <w:jc w:val="both"/>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 xml:space="preserve">The vast majority of the 5 mile radius area is not deprived. Three areas fall just inside the 50% most deprived in England. One is in the 40% most deprived.   </w:t>
      </w:r>
    </w:p>
    <w:p w:rsidR="003F0E93" w:rsidRPr="003F0E93" w:rsidRDefault="003F0E93" w:rsidP="003F0E93">
      <w:pPr>
        <w:spacing w:after="0" w:line="240" w:lineRule="auto"/>
        <w:rPr>
          <w:rFonts w:ascii="Arial" w:eastAsia="Times New Roman" w:hAnsi="Arial" w:cs="Times New Roman"/>
          <w:b/>
          <w:sz w:val="28"/>
          <w:szCs w:val="28"/>
          <w:lang w:eastAsia="en-GB"/>
        </w:rPr>
      </w:pPr>
    </w:p>
    <w:p w:rsidR="003F0E93" w:rsidRPr="003F0E93" w:rsidRDefault="003F0E93" w:rsidP="003F0E93">
      <w:pPr>
        <w:spacing w:after="0" w:line="240" w:lineRule="auto"/>
        <w:rPr>
          <w:rFonts w:ascii="Arial" w:eastAsia="Times New Roman" w:hAnsi="Arial" w:cs="Times New Roman"/>
          <w:b/>
          <w:sz w:val="24"/>
          <w:szCs w:val="24"/>
          <w:lang w:eastAsia="en-GB"/>
        </w:rPr>
      </w:pPr>
      <w:r w:rsidRPr="003F0E93">
        <w:rPr>
          <w:rFonts w:ascii="Arial" w:eastAsia="Times New Roman" w:hAnsi="Arial" w:cs="Times New Roman"/>
          <w:b/>
          <w:sz w:val="24"/>
          <w:szCs w:val="24"/>
          <w:lang w:eastAsia="en-GB"/>
        </w:rPr>
        <w:t>Fylde comparative data</w:t>
      </w:r>
    </w:p>
    <w:p w:rsidR="003F0E93" w:rsidRPr="003F0E93" w:rsidRDefault="003F0E93" w:rsidP="003F0E93">
      <w:pPr>
        <w:spacing w:after="0" w:line="240" w:lineRule="auto"/>
        <w:rPr>
          <w:rFonts w:ascii="Arial" w:eastAsia="Times New Roman" w:hAnsi="Arial" w:cs="Times New Roman"/>
          <w:b/>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At the 2011 Census, the population of Fylde was 75,757 people. Just over half (51%) were women.20% were aged 0-19 years old. 55% were aged 20 to 64 years and 24% were aged 65 or over.</w:t>
      </w:r>
    </w:p>
    <w:p w:rsidR="003F0E93" w:rsidRPr="003F0E93" w:rsidRDefault="003F0E93" w:rsidP="003F0E93">
      <w:pPr>
        <w:spacing w:after="0" w:line="240" w:lineRule="auto"/>
        <w:jc w:val="both"/>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Most of the population (78%) did not have their day-to-day activities limited by long-term conditions or ill health. 10% had their activities limited a lot and a further 11.5% were limited a little. 59,406 people (78.4%) had very good or good health. 4,732 (6%) people had very bad or bad health.</w:t>
      </w:r>
    </w:p>
    <w:p w:rsidR="003F0E93" w:rsidRPr="003F0E93" w:rsidRDefault="003F0E93" w:rsidP="003F0E93">
      <w:pPr>
        <w:spacing w:after="0" w:line="240" w:lineRule="auto"/>
        <w:jc w:val="both"/>
        <w:rPr>
          <w:rFonts w:ascii="Arial" w:eastAsia="Times New Roman" w:hAnsi="Arial" w:cs="Times New Roman"/>
          <w:sz w:val="24"/>
          <w:szCs w:val="20"/>
          <w:lang w:eastAsia="en-GB"/>
        </w:rPr>
      </w:pPr>
    </w:p>
    <w:p w:rsidR="003F0E93" w:rsidRPr="003F0E93" w:rsidRDefault="003F0E93" w:rsidP="003F0E93">
      <w:pPr>
        <w:spacing w:after="0" w:line="240" w:lineRule="auto"/>
        <w:jc w:val="both"/>
        <w:rPr>
          <w:rFonts w:ascii="Arial" w:eastAsia="Times New Roman" w:hAnsi="Arial" w:cs="Times New Roman"/>
          <w:sz w:val="24"/>
          <w:szCs w:val="20"/>
          <w:lang w:eastAsia="en-GB"/>
        </w:rPr>
      </w:pPr>
      <w:r w:rsidRPr="003F0E93">
        <w:rPr>
          <w:rFonts w:ascii="Arial" w:eastAsia="Times New Roman" w:hAnsi="Arial" w:cs="Times New Roman"/>
          <w:sz w:val="24"/>
          <w:szCs w:val="20"/>
          <w:lang w:eastAsia="en-GB"/>
        </w:rPr>
        <w:t>There were 54,544 residents aged 16 to 74 years old. 20,222 (37%) were employed full time and 11,262 (20.6%) were retired.1</w:t>
      </w:r>
      <w:proofErr w:type="gramStart"/>
      <w:r w:rsidRPr="003F0E93">
        <w:rPr>
          <w:rFonts w:ascii="Arial" w:eastAsia="Times New Roman" w:hAnsi="Arial" w:cs="Times New Roman"/>
          <w:sz w:val="24"/>
          <w:szCs w:val="20"/>
          <w:lang w:eastAsia="en-GB"/>
        </w:rPr>
        <w:t>,687</w:t>
      </w:r>
      <w:proofErr w:type="gramEnd"/>
      <w:r w:rsidRPr="003F0E93">
        <w:rPr>
          <w:rFonts w:ascii="Arial" w:eastAsia="Times New Roman" w:hAnsi="Arial" w:cs="Times New Roman"/>
          <w:sz w:val="24"/>
          <w:szCs w:val="20"/>
          <w:lang w:eastAsia="en-GB"/>
        </w:rPr>
        <w:t xml:space="preserve"> people 3%) were unemployed.  </w:t>
      </w:r>
    </w:p>
    <w:p w:rsidR="003F0E93" w:rsidRDefault="003F0E93" w:rsidP="003F0E93">
      <w:pPr>
        <w:spacing w:after="0" w:line="240" w:lineRule="auto"/>
        <w:rPr>
          <w:rFonts w:ascii="Arial" w:eastAsia="Times New Roman" w:hAnsi="Arial" w:cs="Times New Roman"/>
          <w:b/>
          <w:sz w:val="28"/>
          <w:szCs w:val="28"/>
          <w:lang w:eastAsia="en-GB"/>
        </w:rPr>
      </w:pPr>
    </w:p>
    <w:p w:rsidR="000445F1" w:rsidRDefault="000445F1" w:rsidP="003F0E93">
      <w:pPr>
        <w:spacing w:after="0" w:line="240" w:lineRule="auto"/>
        <w:rPr>
          <w:rFonts w:ascii="Arial" w:eastAsia="Times New Roman" w:hAnsi="Arial" w:cs="Times New Roman"/>
          <w:b/>
          <w:sz w:val="28"/>
          <w:szCs w:val="28"/>
          <w:lang w:eastAsia="en-GB"/>
        </w:rPr>
      </w:pPr>
    </w:p>
    <w:p w:rsidR="000445F1" w:rsidRDefault="000445F1" w:rsidP="003F0E93">
      <w:pPr>
        <w:spacing w:after="0" w:line="240" w:lineRule="auto"/>
        <w:rPr>
          <w:rFonts w:ascii="Arial" w:eastAsia="Times New Roman" w:hAnsi="Arial" w:cs="Times New Roman"/>
          <w:b/>
          <w:sz w:val="28"/>
          <w:szCs w:val="28"/>
          <w:lang w:eastAsia="en-GB"/>
        </w:rPr>
      </w:pPr>
    </w:p>
    <w:p w:rsidR="000445F1" w:rsidRDefault="000445F1" w:rsidP="003F0E93">
      <w:pPr>
        <w:spacing w:after="0" w:line="240" w:lineRule="auto"/>
        <w:rPr>
          <w:rFonts w:ascii="Arial" w:eastAsia="Times New Roman" w:hAnsi="Arial" w:cs="Times New Roman"/>
          <w:b/>
          <w:sz w:val="28"/>
          <w:szCs w:val="28"/>
          <w:lang w:eastAsia="en-GB"/>
        </w:rPr>
      </w:pPr>
    </w:p>
    <w:p w:rsidR="000445F1" w:rsidRDefault="000445F1" w:rsidP="003F0E93">
      <w:pPr>
        <w:spacing w:after="0" w:line="240" w:lineRule="auto"/>
        <w:rPr>
          <w:rFonts w:ascii="Arial" w:eastAsia="Times New Roman" w:hAnsi="Arial" w:cs="Times New Roman"/>
          <w:b/>
          <w:sz w:val="28"/>
          <w:szCs w:val="28"/>
          <w:lang w:eastAsia="en-GB"/>
        </w:rPr>
      </w:pPr>
    </w:p>
    <w:p w:rsidR="000445F1" w:rsidRPr="003F0E93" w:rsidRDefault="000445F1" w:rsidP="003F0E93">
      <w:pPr>
        <w:spacing w:after="0" w:line="240" w:lineRule="auto"/>
        <w:rPr>
          <w:rFonts w:ascii="Arial" w:eastAsia="Times New Roman" w:hAnsi="Arial" w:cs="Times New Roman"/>
          <w:b/>
          <w:sz w:val="28"/>
          <w:szCs w:val="28"/>
          <w:lang w:eastAsia="en-GB"/>
        </w:rPr>
      </w:pPr>
    </w:p>
    <w:tbl>
      <w:tblPr>
        <w:tblStyle w:val="TableGrid"/>
        <w:tblW w:w="0" w:type="auto"/>
        <w:jc w:val="center"/>
        <w:tblLook w:val="04A0" w:firstRow="1" w:lastRow="0" w:firstColumn="1" w:lastColumn="0" w:noHBand="0" w:noVBand="1"/>
      </w:tblPr>
      <w:tblGrid>
        <w:gridCol w:w="1443"/>
        <w:gridCol w:w="1134"/>
        <w:gridCol w:w="1276"/>
        <w:gridCol w:w="1561"/>
        <w:gridCol w:w="1456"/>
      </w:tblGrid>
      <w:tr w:rsidR="003F0E93" w:rsidRPr="003F0E93" w:rsidTr="009B57D5">
        <w:trPr>
          <w:jc w:val="center"/>
        </w:trPr>
        <w:tc>
          <w:tcPr>
            <w:tcW w:w="1418" w:type="dxa"/>
          </w:tcPr>
          <w:p w:rsidR="003F0E93" w:rsidRPr="003F0E93" w:rsidRDefault="003F0E93" w:rsidP="003F0E93">
            <w:pPr>
              <w:jc w:val="center"/>
              <w:rPr>
                <w:rFonts w:ascii="Arial" w:hAnsi="Arial" w:cs="Arial"/>
                <w:b/>
                <w:sz w:val="24"/>
              </w:rPr>
            </w:pPr>
            <w:r w:rsidRPr="003F0E93">
              <w:rPr>
                <w:rFonts w:ascii="Arial" w:hAnsi="Arial" w:cs="Arial"/>
                <w:b/>
                <w:sz w:val="24"/>
              </w:rPr>
              <w:t>Total population</w:t>
            </w:r>
          </w:p>
        </w:tc>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Males</w:t>
            </w:r>
          </w:p>
        </w:tc>
        <w:tc>
          <w:tcPr>
            <w:tcW w:w="1276" w:type="dxa"/>
          </w:tcPr>
          <w:p w:rsidR="003F0E93" w:rsidRPr="003F0E93" w:rsidRDefault="003F0E93" w:rsidP="003F0E93">
            <w:pPr>
              <w:jc w:val="center"/>
              <w:rPr>
                <w:rFonts w:ascii="Arial" w:hAnsi="Arial" w:cs="Arial"/>
                <w:b/>
                <w:sz w:val="24"/>
              </w:rPr>
            </w:pPr>
            <w:r w:rsidRPr="003F0E93">
              <w:rPr>
                <w:rFonts w:ascii="Arial" w:hAnsi="Arial" w:cs="Arial"/>
                <w:b/>
                <w:sz w:val="24"/>
              </w:rPr>
              <w:t>Females</w:t>
            </w:r>
          </w:p>
        </w:tc>
        <w:tc>
          <w:tcPr>
            <w:tcW w:w="1561" w:type="dxa"/>
          </w:tcPr>
          <w:p w:rsidR="003F0E93" w:rsidRPr="003F0E93" w:rsidRDefault="003F0E93" w:rsidP="003F0E93">
            <w:pPr>
              <w:jc w:val="center"/>
              <w:rPr>
                <w:rFonts w:ascii="Arial" w:hAnsi="Arial" w:cs="Arial"/>
                <w:b/>
                <w:sz w:val="24"/>
              </w:rPr>
            </w:pPr>
            <w:r w:rsidRPr="003F0E93">
              <w:rPr>
                <w:rFonts w:ascii="Arial" w:hAnsi="Arial" w:cs="Arial"/>
                <w:b/>
                <w:sz w:val="24"/>
              </w:rPr>
              <w:t>Area (hectares)</w:t>
            </w:r>
          </w:p>
        </w:tc>
        <w:tc>
          <w:tcPr>
            <w:tcW w:w="1415" w:type="dxa"/>
          </w:tcPr>
          <w:p w:rsidR="003F0E93" w:rsidRPr="003F0E93" w:rsidRDefault="003F0E93" w:rsidP="003F0E93">
            <w:pPr>
              <w:jc w:val="center"/>
              <w:rPr>
                <w:rFonts w:ascii="Arial" w:hAnsi="Arial" w:cs="Arial"/>
                <w:b/>
                <w:sz w:val="24"/>
              </w:rPr>
            </w:pPr>
            <w:r w:rsidRPr="003F0E93">
              <w:rPr>
                <w:rFonts w:ascii="Arial" w:hAnsi="Arial" w:cs="Arial"/>
                <w:b/>
                <w:sz w:val="24"/>
              </w:rPr>
              <w:t>Population density</w:t>
            </w:r>
          </w:p>
        </w:tc>
      </w:tr>
      <w:tr w:rsidR="003F0E93" w:rsidRPr="003F0E93" w:rsidTr="009B57D5">
        <w:trPr>
          <w:jc w:val="center"/>
        </w:trPr>
        <w:tc>
          <w:tcPr>
            <w:tcW w:w="1418"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75,757</w:t>
            </w:r>
          </w:p>
        </w:tc>
        <w:tc>
          <w:tcPr>
            <w:tcW w:w="1134"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36,781</w:t>
            </w:r>
          </w:p>
        </w:tc>
        <w:tc>
          <w:tcPr>
            <w:tcW w:w="1276"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38,976</w:t>
            </w:r>
          </w:p>
        </w:tc>
        <w:tc>
          <w:tcPr>
            <w:tcW w:w="1561"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16,569</w:t>
            </w:r>
          </w:p>
        </w:tc>
        <w:tc>
          <w:tcPr>
            <w:tcW w:w="1415"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36.0</w:t>
            </w:r>
          </w:p>
        </w:tc>
      </w:tr>
    </w:tbl>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
        <w:tblW w:w="0" w:type="auto"/>
        <w:jc w:val="center"/>
        <w:tblLook w:val="04A0" w:firstRow="1" w:lastRow="0" w:firstColumn="1" w:lastColumn="0" w:noHBand="0" w:noVBand="1"/>
      </w:tblPr>
      <w:tblGrid>
        <w:gridCol w:w="1134"/>
        <w:gridCol w:w="1276"/>
        <w:gridCol w:w="1561"/>
      </w:tblGrid>
      <w:tr w:rsidR="003F0E93" w:rsidRPr="003F0E93" w:rsidTr="009B57D5">
        <w:trPr>
          <w:jc w:val="center"/>
        </w:trPr>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0 - 19</w:t>
            </w:r>
          </w:p>
        </w:tc>
        <w:tc>
          <w:tcPr>
            <w:tcW w:w="1276" w:type="dxa"/>
          </w:tcPr>
          <w:p w:rsidR="003F0E93" w:rsidRPr="003F0E93" w:rsidRDefault="003F0E93" w:rsidP="003F0E93">
            <w:pPr>
              <w:jc w:val="center"/>
              <w:rPr>
                <w:rFonts w:ascii="Arial" w:hAnsi="Arial" w:cs="Arial"/>
                <w:b/>
                <w:sz w:val="24"/>
              </w:rPr>
            </w:pPr>
            <w:r w:rsidRPr="003F0E93">
              <w:rPr>
                <w:rFonts w:ascii="Arial" w:hAnsi="Arial" w:cs="Arial"/>
                <w:b/>
                <w:sz w:val="24"/>
              </w:rPr>
              <w:t>20 - 64</w:t>
            </w:r>
          </w:p>
        </w:tc>
        <w:tc>
          <w:tcPr>
            <w:tcW w:w="1561" w:type="dxa"/>
          </w:tcPr>
          <w:p w:rsidR="003F0E93" w:rsidRPr="003F0E93" w:rsidRDefault="003F0E93" w:rsidP="003F0E93">
            <w:pPr>
              <w:jc w:val="center"/>
              <w:rPr>
                <w:rFonts w:ascii="Arial" w:hAnsi="Arial" w:cs="Arial"/>
                <w:b/>
                <w:sz w:val="24"/>
              </w:rPr>
            </w:pPr>
            <w:r w:rsidRPr="003F0E93">
              <w:rPr>
                <w:rFonts w:ascii="Arial" w:hAnsi="Arial" w:cs="Arial"/>
                <w:b/>
                <w:sz w:val="24"/>
              </w:rPr>
              <w:t>65 and over</w:t>
            </w:r>
          </w:p>
        </w:tc>
      </w:tr>
      <w:tr w:rsidR="003F0E93" w:rsidRPr="003F0E93" w:rsidTr="009B57D5">
        <w:trPr>
          <w:jc w:val="center"/>
        </w:trPr>
        <w:tc>
          <w:tcPr>
            <w:tcW w:w="1134"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15,284</w:t>
            </w:r>
          </w:p>
        </w:tc>
        <w:tc>
          <w:tcPr>
            <w:tcW w:w="1276"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42,130</w:t>
            </w:r>
          </w:p>
        </w:tc>
        <w:tc>
          <w:tcPr>
            <w:tcW w:w="1561"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18,343</w:t>
            </w:r>
          </w:p>
        </w:tc>
      </w:tr>
    </w:tbl>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
        <w:tblW w:w="0" w:type="auto"/>
        <w:jc w:val="center"/>
        <w:tblLook w:val="04A0" w:firstRow="1" w:lastRow="0" w:firstColumn="1" w:lastColumn="0" w:noHBand="0" w:noVBand="1"/>
      </w:tblPr>
      <w:tblGrid>
        <w:gridCol w:w="1417"/>
        <w:gridCol w:w="1701"/>
        <w:gridCol w:w="1560"/>
      </w:tblGrid>
      <w:tr w:rsidR="003F0E93" w:rsidRPr="003F0E93" w:rsidTr="009B57D5">
        <w:trPr>
          <w:jc w:val="center"/>
        </w:trPr>
        <w:tc>
          <w:tcPr>
            <w:tcW w:w="1417" w:type="dxa"/>
          </w:tcPr>
          <w:p w:rsidR="003F0E93" w:rsidRPr="003F0E93" w:rsidRDefault="003F0E93" w:rsidP="003F0E93">
            <w:pPr>
              <w:jc w:val="center"/>
              <w:rPr>
                <w:rFonts w:ascii="Arial" w:hAnsi="Arial" w:cs="Arial"/>
                <w:b/>
                <w:sz w:val="24"/>
              </w:rPr>
            </w:pPr>
            <w:r w:rsidRPr="003F0E93">
              <w:rPr>
                <w:rFonts w:ascii="Arial" w:hAnsi="Arial" w:cs="Arial"/>
                <w:b/>
                <w:sz w:val="24"/>
              </w:rPr>
              <w:t>Day-to-day activities limited a lot</w:t>
            </w:r>
          </w:p>
        </w:tc>
        <w:tc>
          <w:tcPr>
            <w:tcW w:w="1701" w:type="dxa"/>
          </w:tcPr>
          <w:p w:rsidR="003F0E93" w:rsidRPr="003F0E93" w:rsidRDefault="003F0E93" w:rsidP="003F0E93">
            <w:pPr>
              <w:jc w:val="center"/>
              <w:rPr>
                <w:rFonts w:ascii="Arial" w:hAnsi="Arial" w:cs="Arial"/>
                <w:b/>
                <w:sz w:val="24"/>
              </w:rPr>
            </w:pPr>
            <w:r w:rsidRPr="003F0E93">
              <w:rPr>
                <w:rFonts w:ascii="Arial" w:hAnsi="Arial" w:cs="Arial"/>
                <w:b/>
                <w:sz w:val="24"/>
              </w:rPr>
              <w:t>Day-to-day activities limited a little</w:t>
            </w:r>
          </w:p>
        </w:tc>
        <w:tc>
          <w:tcPr>
            <w:tcW w:w="1560" w:type="dxa"/>
          </w:tcPr>
          <w:p w:rsidR="003F0E93" w:rsidRPr="003F0E93" w:rsidRDefault="003F0E93" w:rsidP="003F0E93">
            <w:pPr>
              <w:jc w:val="center"/>
              <w:rPr>
                <w:rFonts w:ascii="Arial" w:hAnsi="Arial" w:cs="Arial"/>
                <w:b/>
                <w:sz w:val="24"/>
              </w:rPr>
            </w:pPr>
            <w:r w:rsidRPr="003F0E93">
              <w:rPr>
                <w:rFonts w:ascii="Arial" w:hAnsi="Arial" w:cs="Arial"/>
                <w:b/>
                <w:sz w:val="24"/>
              </w:rPr>
              <w:t>Day-to-day activities not limited</w:t>
            </w:r>
          </w:p>
        </w:tc>
      </w:tr>
      <w:tr w:rsidR="003F0E93" w:rsidRPr="003F0E93" w:rsidTr="009B57D5">
        <w:trPr>
          <w:jc w:val="center"/>
        </w:trPr>
        <w:tc>
          <w:tcPr>
            <w:tcW w:w="1417"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7,849</w:t>
            </w:r>
          </w:p>
        </w:tc>
        <w:tc>
          <w:tcPr>
            <w:tcW w:w="1701"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8,714</w:t>
            </w:r>
          </w:p>
        </w:tc>
        <w:tc>
          <w:tcPr>
            <w:tcW w:w="1560"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59,194</w:t>
            </w:r>
          </w:p>
        </w:tc>
      </w:tr>
    </w:tbl>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
        <w:tblW w:w="0" w:type="auto"/>
        <w:jc w:val="center"/>
        <w:tblLook w:val="04A0" w:firstRow="1" w:lastRow="0" w:firstColumn="1" w:lastColumn="0" w:noHBand="0" w:noVBand="1"/>
      </w:tblPr>
      <w:tblGrid>
        <w:gridCol w:w="1417"/>
        <w:gridCol w:w="1418"/>
        <w:gridCol w:w="1134"/>
        <w:gridCol w:w="1134"/>
        <w:gridCol w:w="1276"/>
      </w:tblGrid>
      <w:tr w:rsidR="003F0E93" w:rsidRPr="003F0E93" w:rsidTr="009B57D5">
        <w:trPr>
          <w:jc w:val="center"/>
        </w:trPr>
        <w:tc>
          <w:tcPr>
            <w:tcW w:w="1417" w:type="dxa"/>
          </w:tcPr>
          <w:p w:rsidR="003F0E93" w:rsidRPr="003F0E93" w:rsidRDefault="003F0E93" w:rsidP="003F0E93">
            <w:pPr>
              <w:jc w:val="center"/>
              <w:rPr>
                <w:rFonts w:ascii="Arial" w:hAnsi="Arial" w:cs="Arial"/>
                <w:b/>
                <w:sz w:val="24"/>
              </w:rPr>
            </w:pPr>
            <w:r w:rsidRPr="003F0E93">
              <w:rPr>
                <w:rFonts w:ascii="Arial" w:hAnsi="Arial" w:cs="Arial"/>
                <w:b/>
                <w:sz w:val="24"/>
              </w:rPr>
              <w:t>Health – very good</w:t>
            </w:r>
          </w:p>
        </w:tc>
        <w:tc>
          <w:tcPr>
            <w:tcW w:w="1418" w:type="dxa"/>
          </w:tcPr>
          <w:p w:rsidR="003F0E93" w:rsidRPr="003F0E93" w:rsidRDefault="003F0E93" w:rsidP="003F0E93">
            <w:pPr>
              <w:jc w:val="center"/>
              <w:rPr>
                <w:rFonts w:ascii="Arial" w:hAnsi="Arial" w:cs="Arial"/>
                <w:b/>
                <w:sz w:val="24"/>
              </w:rPr>
            </w:pPr>
            <w:r w:rsidRPr="003F0E93">
              <w:rPr>
                <w:rFonts w:ascii="Arial" w:hAnsi="Arial" w:cs="Arial"/>
                <w:b/>
                <w:sz w:val="24"/>
              </w:rPr>
              <w:t>Health – good</w:t>
            </w:r>
          </w:p>
        </w:tc>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Health – fair</w:t>
            </w:r>
          </w:p>
        </w:tc>
        <w:tc>
          <w:tcPr>
            <w:tcW w:w="1134" w:type="dxa"/>
          </w:tcPr>
          <w:p w:rsidR="003F0E93" w:rsidRPr="003F0E93" w:rsidRDefault="003F0E93" w:rsidP="003F0E93">
            <w:pPr>
              <w:jc w:val="center"/>
              <w:rPr>
                <w:rFonts w:ascii="Arial" w:hAnsi="Arial" w:cs="Arial"/>
                <w:b/>
                <w:sz w:val="24"/>
              </w:rPr>
            </w:pPr>
            <w:r w:rsidRPr="003F0E93">
              <w:rPr>
                <w:rFonts w:ascii="Arial" w:hAnsi="Arial" w:cs="Arial"/>
                <w:b/>
                <w:sz w:val="24"/>
              </w:rPr>
              <w:t xml:space="preserve">Heath – bad </w:t>
            </w:r>
          </w:p>
        </w:tc>
        <w:tc>
          <w:tcPr>
            <w:tcW w:w="1276" w:type="dxa"/>
          </w:tcPr>
          <w:p w:rsidR="003F0E93" w:rsidRPr="003F0E93" w:rsidRDefault="003F0E93" w:rsidP="003F0E93">
            <w:pPr>
              <w:jc w:val="center"/>
              <w:rPr>
                <w:rFonts w:ascii="Arial" w:hAnsi="Arial" w:cs="Arial"/>
                <w:b/>
                <w:sz w:val="24"/>
              </w:rPr>
            </w:pPr>
            <w:r w:rsidRPr="003F0E93">
              <w:rPr>
                <w:rFonts w:ascii="Arial" w:hAnsi="Arial" w:cs="Arial"/>
                <w:b/>
                <w:sz w:val="24"/>
              </w:rPr>
              <w:t xml:space="preserve">Health – very bad </w:t>
            </w:r>
          </w:p>
        </w:tc>
      </w:tr>
      <w:tr w:rsidR="003F0E93" w:rsidRPr="003F0E93" w:rsidTr="009B57D5">
        <w:trPr>
          <w:jc w:val="center"/>
        </w:trPr>
        <w:tc>
          <w:tcPr>
            <w:tcW w:w="1417"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33,815</w:t>
            </w:r>
          </w:p>
        </w:tc>
        <w:tc>
          <w:tcPr>
            <w:tcW w:w="1418"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25,591</w:t>
            </w:r>
          </w:p>
        </w:tc>
        <w:tc>
          <w:tcPr>
            <w:tcW w:w="1134"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11,619</w:t>
            </w:r>
          </w:p>
        </w:tc>
        <w:tc>
          <w:tcPr>
            <w:tcW w:w="1134"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3,692</w:t>
            </w:r>
          </w:p>
        </w:tc>
        <w:tc>
          <w:tcPr>
            <w:tcW w:w="1276"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1,040</w:t>
            </w:r>
          </w:p>
        </w:tc>
      </w:tr>
    </w:tbl>
    <w:p w:rsidR="003F0E93" w:rsidRPr="003F0E93" w:rsidRDefault="003F0E93" w:rsidP="003F0E93">
      <w:pPr>
        <w:spacing w:after="0" w:line="240" w:lineRule="auto"/>
        <w:rPr>
          <w:rFonts w:ascii="Arial" w:eastAsia="Times New Roman" w:hAnsi="Arial" w:cs="Times New Roman"/>
          <w:sz w:val="24"/>
          <w:szCs w:val="20"/>
          <w:lang w:eastAsia="en-GB"/>
        </w:rPr>
      </w:pPr>
    </w:p>
    <w:tbl>
      <w:tblPr>
        <w:tblStyle w:val="TableGrid1"/>
        <w:tblW w:w="0" w:type="auto"/>
        <w:jc w:val="center"/>
        <w:tblLook w:val="04A0" w:firstRow="1" w:lastRow="0" w:firstColumn="1" w:lastColumn="0" w:noHBand="0" w:noVBand="1"/>
      </w:tblPr>
      <w:tblGrid>
        <w:gridCol w:w="1560"/>
        <w:gridCol w:w="1764"/>
        <w:gridCol w:w="1764"/>
        <w:gridCol w:w="1764"/>
      </w:tblGrid>
      <w:tr w:rsidR="003F0E93" w:rsidRPr="003F0E93" w:rsidTr="009B57D5">
        <w:trPr>
          <w:jc w:val="center"/>
        </w:trPr>
        <w:tc>
          <w:tcPr>
            <w:tcW w:w="1560"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All usual residents aged 16 to 74</w:t>
            </w:r>
          </w:p>
        </w:tc>
        <w:tc>
          <w:tcPr>
            <w:tcW w:w="1504"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employee; full-time</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active; unemployed</w:t>
            </w:r>
          </w:p>
        </w:tc>
        <w:tc>
          <w:tcPr>
            <w:tcW w:w="1416" w:type="dxa"/>
            <w:shd w:val="clear" w:color="auto" w:fill="auto"/>
            <w:vAlign w:val="bottom"/>
          </w:tcPr>
          <w:p w:rsidR="003F0E93" w:rsidRPr="003F0E93" w:rsidRDefault="003F0E93" w:rsidP="003F0E93">
            <w:pPr>
              <w:rPr>
                <w:rFonts w:ascii="Arial" w:hAnsi="Arial" w:cs="Arial"/>
                <w:b/>
                <w:color w:val="000000"/>
                <w:sz w:val="24"/>
              </w:rPr>
            </w:pPr>
            <w:r w:rsidRPr="003F0E93">
              <w:rPr>
                <w:rFonts w:ascii="Arial" w:hAnsi="Arial" w:cs="Arial"/>
                <w:b/>
                <w:color w:val="000000"/>
                <w:sz w:val="24"/>
              </w:rPr>
              <w:t>Economically inactive; retired</w:t>
            </w:r>
          </w:p>
        </w:tc>
      </w:tr>
      <w:tr w:rsidR="003F0E93" w:rsidRPr="003F0E93" w:rsidTr="009B57D5">
        <w:trPr>
          <w:jc w:val="center"/>
        </w:trPr>
        <w:tc>
          <w:tcPr>
            <w:tcW w:w="1560"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54,544</w:t>
            </w:r>
          </w:p>
        </w:tc>
        <w:tc>
          <w:tcPr>
            <w:tcW w:w="1504"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20,222</w:t>
            </w:r>
          </w:p>
        </w:tc>
        <w:tc>
          <w:tcPr>
            <w:tcW w:w="1416"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1,687</w:t>
            </w:r>
          </w:p>
        </w:tc>
        <w:tc>
          <w:tcPr>
            <w:tcW w:w="1416" w:type="dxa"/>
            <w:shd w:val="clear" w:color="auto" w:fill="auto"/>
            <w:vAlign w:val="bottom"/>
          </w:tcPr>
          <w:p w:rsidR="003F0E93" w:rsidRPr="003F0E93" w:rsidRDefault="003F0E93" w:rsidP="003F0E93">
            <w:pPr>
              <w:jc w:val="right"/>
              <w:rPr>
                <w:rFonts w:ascii="Arial" w:hAnsi="Arial" w:cs="Arial"/>
                <w:bCs/>
                <w:color w:val="000000"/>
                <w:sz w:val="24"/>
              </w:rPr>
            </w:pPr>
            <w:r w:rsidRPr="003F0E93">
              <w:rPr>
                <w:rFonts w:ascii="Arial" w:hAnsi="Arial" w:cs="Arial"/>
                <w:bCs/>
                <w:color w:val="000000"/>
                <w:sz w:val="24"/>
              </w:rPr>
              <w:t>11,262</w:t>
            </w:r>
          </w:p>
        </w:tc>
      </w:tr>
    </w:tbl>
    <w:p w:rsidR="0098639F" w:rsidRDefault="0098639F"/>
    <w:sectPr w:rsidR="009863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93" w:rsidRDefault="003F0E93" w:rsidP="003F0E93">
      <w:pPr>
        <w:spacing w:after="0" w:line="240" w:lineRule="auto"/>
      </w:pPr>
      <w:r>
        <w:separator/>
      </w:r>
    </w:p>
  </w:endnote>
  <w:endnote w:type="continuationSeparator" w:id="0">
    <w:p w:rsidR="003F0E93" w:rsidRDefault="003F0E93" w:rsidP="003F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93" w:rsidRDefault="003F0E93" w:rsidP="003F0E93">
      <w:pPr>
        <w:spacing w:after="0" w:line="240" w:lineRule="auto"/>
      </w:pPr>
      <w:r>
        <w:separator/>
      </w:r>
    </w:p>
  </w:footnote>
  <w:footnote w:type="continuationSeparator" w:id="0">
    <w:p w:rsidR="003F0E93" w:rsidRDefault="003F0E93" w:rsidP="003F0E93">
      <w:pPr>
        <w:spacing w:after="0" w:line="240" w:lineRule="auto"/>
      </w:pPr>
      <w:r>
        <w:continuationSeparator/>
      </w:r>
    </w:p>
  </w:footnote>
  <w:footnote w:id="1">
    <w:p w:rsidR="003F0E93" w:rsidRDefault="003F0E93" w:rsidP="003F0E93">
      <w:pPr>
        <w:pStyle w:val="FootnoteText"/>
      </w:pPr>
      <w:r>
        <w:rPr>
          <w:rStyle w:val="FootnoteReference"/>
        </w:rPr>
        <w:footnoteRef/>
      </w:r>
      <w:r>
        <w:t xml:space="preserve"> </w:t>
      </w:r>
      <w:r w:rsidRPr="00F206AD">
        <w:rPr>
          <w:rFonts w:ascii="Arial" w:hAnsi="Arial" w:cs="Arial"/>
          <w:sz w:val="16"/>
          <w:szCs w:val="16"/>
        </w:rPr>
        <w:t>ONS 2012 Mid-Year Population Estimate, Published November 2013</w:t>
      </w:r>
    </w:p>
  </w:footnote>
  <w:footnote w:id="2">
    <w:p w:rsidR="003F0E93" w:rsidRDefault="003F0E93" w:rsidP="003F0E93">
      <w:pPr>
        <w:pStyle w:val="FootnoteText"/>
      </w:pPr>
      <w:r>
        <w:rPr>
          <w:rStyle w:val="FootnoteReference"/>
        </w:rPr>
        <w:footnoteRef/>
      </w:r>
      <w:r>
        <w:t xml:space="preserve"> </w:t>
      </w:r>
      <w:r w:rsidRPr="00864D53">
        <w:rPr>
          <w:rFonts w:ascii="Arial" w:hAnsi="Arial" w:cs="Arial"/>
          <w:sz w:val="16"/>
          <w:szCs w:val="16"/>
        </w:rPr>
        <w:t>ht</w:t>
      </w:r>
      <w:r>
        <w:rPr>
          <w:rFonts w:ascii="Arial" w:hAnsi="Arial" w:cs="Arial"/>
          <w:sz w:val="16"/>
          <w:szCs w:val="16"/>
        </w:rPr>
        <w:t>tp://www.segmentationportal.com</w:t>
      </w:r>
    </w:p>
  </w:footnote>
  <w:footnote w:id="3">
    <w:p w:rsidR="003F0E93" w:rsidRDefault="003F0E93" w:rsidP="003F0E93">
      <w:pPr>
        <w:pStyle w:val="FootnoteText"/>
      </w:pPr>
      <w:r>
        <w:rPr>
          <w:rStyle w:val="FootnoteReference"/>
        </w:rPr>
        <w:footnoteRef/>
      </w:r>
      <w:r>
        <w:t xml:space="preserve"> </w:t>
      </w:r>
      <w:r w:rsidRPr="00F206AD">
        <w:rPr>
          <w:rFonts w:ascii="Arial" w:hAnsi="Arial" w:cs="Arial"/>
          <w:sz w:val="16"/>
          <w:szCs w:val="16"/>
        </w:rPr>
        <w:t xml:space="preserve">Public Health England. (2014). </w:t>
      </w:r>
      <w:r w:rsidRPr="00F206AD">
        <w:rPr>
          <w:rFonts w:ascii="Arial" w:hAnsi="Arial" w:cs="Arial"/>
          <w:i/>
          <w:iCs/>
          <w:sz w:val="16"/>
          <w:szCs w:val="16"/>
        </w:rPr>
        <w:t>Local Health.</w:t>
      </w:r>
      <w:r w:rsidRPr="00F206AD">
        <w:rPr>
          <w:rFonts w:ascii="Arial" w:hAnsi="Arial" w:cs="Arial"/>
          <w:sz w:val="16"/>
          <w:szCs w:val="16"/>
        </w:rPr>
        <w:t xml:space="preserve"> Available: http://www.localhealth.org.uk. Last accessed 30/09/2014.</w:t>
      </w:r>
    </w:p>
  </w:footnote>
  <w:footnote w:id="4">
    <w:p w:rsidR="003F0E93" w:rsidRDefault="003F0E93" w:rsidP="003F0E93">
      <w:pPr>
        <w:pStyle w:val="FootnoteText"/>
      </w:pPr>
      <w:r>
        <w:rPr>
          <w:rStyle w:val="FootnoteReference"/>
        </w:rPr>
        <w:footnoteRef/>
      </w:r>
      <w:r>
        <w:t xml:space="preserve"> </w:t>
      </w:r>
      <w:r w:rsidRPr="00E67B2C">
        <w:rPr>
          <w:rFonts w:ascii="Arial" w:hAnsi="Arial" w:cs="Arial"/>
          <w:sz w:val="16"/>
          <w:szCs w:val="16"/>
        </w:rPr>
        <w:t xml:space="preserve">Small Area Health Statistics Unit (SAHSU). (2014). </w:t>
      </w:r>
      <w:proofErr w:type="gramStart"/>
      <w:r w:rsidRPr="00E67B2C">
        <w:rPr>
          <w:rFonts w:ascii="Arial" w:hAnsi="Arial" w:cs="Arial"/>
          <w:sz w:val="16"/>
          <w:szCs w:val="16"/>
        </w:rPr>
        <w:t>The</w:t>
      </w:r>
      <w:proofErr w:type="gramEnd"/>
      <w:r w:rsidRPr="00E67B2C">
        <w:rPr>
          <w:rFonts w:ascii="Arial" w:hAnsi="Arial" w:cs="Arial"/>
          <w:sz w:val="16"/>
          <w:szCs w:val="16"/>
        </w:rPr>
        <w:t xml:space="preserve"> Environment and Health Atlas for England and Wales. Available: http://www.envhealthatlas.co.uk/. Last accessed 01/10/2014.</w:t>
      </w:r>
    </w:p>
  </w:footnote>
  <w:footnote w:id="5">
    <w:p w:rsidR="003F0E93" w:rsidRDefault="003F0E93" w:rsidP="003F0E93">
      <w:pPr>
        <w:pStyle w:val="FootnoteText"/>
      </w:pPr>
      <w:r>
        <w:rPr>
          <w:rStyle w:val="FootnoteReference"/>
        </w:rPr>
        <w:footnoteRef/>
      </w:r>
      <w:r>
        <w:t xml:space="preserve"> </w:t>
      </w:r>
      <w:r w:rsidRPr="00F206AD">
        <w:rPr>
          <w:rFonts w:ascii="Arial" w:hAnsi="Arial" w:cs="Arial"/>
          <w:sz w:val="16"/>
          <w:szCs w:val="16"/>
        </w:rPr>
        <w:t>SMRs calculated by dividing the observed total deaths in the area by the expected deaths and multiplying by 100</w:t>
      </w:r>
    </w:p>
  </w:footnote>
  <w:footnote w:id="6">
    <w:p w:rsidR="003F0E93" w:rsidRDefault="003F0E93" w:rsidP="003F0E93">
      <w:pPr>
        <w:pStyle w:val="FootnoteText"/>
      </w:pPr>
      <w:r>
        <w:rPr>
          <w:rStyle w:val="FootnoteReference"/>
        </w:rPr>
        <w:footnoteRef/>
      </w:r>
      <w:r>
        <w:t xml:space="preserve"> </w:t>
      </w:r>
      <w:r w:rsidRPr="00F206AD">
        <w:rPr>
          <w:rFonts w:ascii="Arial" w:hAnsi="Arial" w:cs="Arial"/>
          <w:sz w:val="16"/>
          <w:szCs w:val="16"/>
        </w:rPr>
        <w:t>The Lancashire county geography covers the Burnley, Chorley, Fylde, Hyndburn, Lancaster, Pendle, Preston, Ribble Valley, Rossendale, South Ribble, West Lancashire and Wyre districts</w:t>
      </w:r>
    </w:p>
  </w:footnote>
  <w:footnote w:id="7">
    <w:p w:rsidR="003F0E93" w:rsidRDefault="003F0E93" w:rsidP="003F0E93">
      <w:pPr>
        <w:pStyle w:val="FootnoteText"/>
      </w:pPr>
      <w:r>
        <w:rPr>
          <w:rStyle w:val="FootnoteReference"/>
        </w:rPr>
        <w:footnoteRef/>
      </w:r>
      <w:r>
        <w:t xml:space="preserve"> </w:t>
      </w:r>
      <w:r w:rsidRPr="00F206AD">
        <w:rPr>
          <w:rFonts w:ascii="Arial" w:hAnsi="Arial" w:cs="Arial"/>
          <w:sz w:val="16"/>
          <w:szCs w:val="16"/>
        </w:rPr>
        <w:t>ONS 2012 Mid-Year Population Estimate, Published November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2661A"/>
    <w:multiLevelType w:val="multilevel"/>
    <w:tmpl w:val="7DE6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64D61"/>
    <w:multiLevelType w:val="multilevel"/>
    <w:tmpl w:val="8D3C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A2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1F01C9"/>
    <w:multiLevelType w:val="multilevel"/>
    <w:tmpl w:val="496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F6690"/>
    <w:multiLevelType w:val="multilevel"/>
    <w:tmpl w:val="F86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B0188"/>
    <w:multiLevelType w:val="multilevel"/>
    <w:tmpl w:val="CA9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57610"/>
    <w:multiLevelType w:val="multilevel"/>
    <w:tmpl w:val="224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D11B3"/>
    <w:multiLevelType w:val="hybridMultilevel"/>
    <w:tmpl w:val="6F46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93"/>
    <w:rsid w:val="000445F1"/>
    <w:rsid w:val="00312ED6"/>
    <w:rsid w:val="003F0E93"/>
    <w:rsid w:val="00464E65"/>
    <w:rsid w:val="0098639F"/>
    <w:rsid w:val="00DE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DAA4F-3876-403D-87E6-02D5FE39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0E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0E93"/>
    <w:rPr>
      <w:rFonts w:ascii="Calibri" w:eastAsia="Calibri" w:hAnsi="Calibri" w:cs="Times New Roman"/>
      <w:sz w:val="20"/>
      <w:szCs w:val="20"/>
    </w:rPr>
  </w:style>
  <w:style w:type="character" w:styleId="FootnoteReference">
    <w:name w:val="footnote reference"/>
    <w:uiPriority w:val="99"/>
    <w:semiHidden/>
    <w:unhideWhenUsed/>
    <w:rsid w:val="003F0E93"/>
    <w:rPr>
      <w:vertAlign w:val="superscript"/>
    </w:rPr>
  </w:style>
  <w:style w:type="table" w:styleId="TableGrid">
    <w:name w:val="Table Grid"/>
    <w:basedOn w:val="TableNormal"/>
    <w:uiPriority w:val="39"/>
    <w:rsid w:val="003F0E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F0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Sangita</dc:creator>
  <cp:keywords/>
  <dc:description/>
  <cp:lastModifiedBy>Evenson, Maya</cp:lastModifiedBy>
  <cp:revision>4</cp:revision>
  <dcterms:created xsi:type="dcterms:W3CDTF">2014-10-22T09:17:00Z</dcterms:created>
  <dcterms:modified xsi:type="dcterms:W3CDTF">2014-10-27T09:42:00Z</dcterms:modified>
</cp:coreProperties>
</file>